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5963A118"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FE0128">
        <w:rPr>
          <w:rFonts w:ascii="Arial" w:eastAsiaTheme="minorEastAsia" w:hAnsi="Arial" w:cs="Arial"/>
          <w:b/>
          <w:bCs/>
        </w:rPr>
        <w:t>3</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047258">
        <w:rPr>
          <w:rFonts w:ascii="Arial" w:eastAsiaTheme="minorEastAsia" w:hAnsi="Arial" w:cs="Arial"/>
          <w:b/>
          <w:bCs/>
        </w:rPr>
        <w:t>3</w:t>
      </w:r>
      <w:r w:rsidR="00546610">
        <w:rPr>
          <w:rFonts w:ascii="Arial" w:eastAsiaTheme="minorEastAsia" w:hAnsi="Arial" w:cs="Arial" w:hint="eastAsia"/>
          <w:b/>
          <w:bCs/>
        </w:rPr>
        <w:t>05580</w:t>
      </w:r>
    </w:p>
    <w:p w14:paraId="38B7099E" w14:textId="77777777" w:rsidR="00FE0128" w:rsidRPr="00FE0128" w:rsidRDefault="00FE0128" w:rsidP="00FE0128">
      <w:pPr>
        <w:tabs>
          <w:tab w:val="center" w:pos="4536"/>
          <w:tab w:val="right" w:pos="8280"/>
          <w:tab w:val="right" w:pos="9639"/>
        </w:tabs>
        <w:ind w:right="2"/>
        <w:rPr>
          <w:rFonts w:ascii="Arial" w:eastAsia="Malgun Gothic" w:hAnsi="Arial" w:cs="Arial"/>
          <w:b/>
          <w:bCs/>
          <w:lang w:eastAsia="en-US"/>
        </w:rPr>
      </w:pPr>
      <w:r w:rsidRPr="00FE0128">
        <w:rPr>
          <w:rFonts w:ascii="Arial" w:eastAsia="Malgun Gothic" w:hAnsi="Arial" w:cs="Arial"/>
          <w:b/>
          <w:bCs/>
          <w:lang w:eastAsia="en-US"/>
        </w:rPr>
        <w:t>Incheon, Korea, May 22</w:t>
      </w:r>
      <w:r w:rsidRPr="00FE0128">
        <w:rPr>
          <w:rFonts w:ascii="Arial" w:eastAsia="Malgun Gothic" w:hAnsi="Arial" w:cs="Arial"/>
          <w:b/>
          <w:bCs/>
          <w:vertAlign w:val="superscript"/>
          <w:lang w:eastAsia="en-US"/>
        </w:rPr>
        <w:t>nd</w:t>
      </w:r>
      <w:r w:rsidRPr="00FE0128">
        <w:rPr>
          <w:rFonts w:ascii="Arial" w:eastAsia="Malgun Gothic" w:hAnsi="Arial" w:cs="Arial"/>
          <w:b/>
          <w:bCs/>
          <w:lang w:eastAsia="en-US"/>
        </w:rPr>
        <w:t xml:space="preserve"> – May 26</w:t>
      </w:r>
      <w:r w:rsidRPr="00FE0128">
        <w:rPr>
          <w:rFonts w:ascii="Arial" w:eastAsia="Malgun Gothic" w:hAnsi="Arial" w:cs="Arial"/>
          <w:b/>
          <w:bCs/>
          <w:vertAlign w:val="superscript"/>
          <w:lang w:eastAsia="en-US"/>
        </w:rPr>
        <w:t>th</w:t>
      </w:r>
      <w:r w:rsidRPr="00FE0128">
        <w:rPr>
          <w:rFonts w:ascii="Arial" w:eastAsia="Malgun Gothic" w:hAnsi="Arial" w:cs="Arial"/>
          <w:b/>
          <w:bCs/>
          <w:lang w:eastAsia="en-US"/>
        </w:rPr>
        <w:t>, 2023</w:t>
      </w:r>
    </w:p>
    <w:p w14:paraId="0A0E0189" w14:textId="77777777" w:rsidR="00B37F97" w:rsidRPr="00FE0128" w:rsidRDefault="00B37F97"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1588F6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37F97" w:rsidRPr="00B37F97">
        <w:rPr>
          <w:sz w:val="24"/>
          <w:lang w:val="en-US"/>
        </w:rPr>
        <w:t>Discussion on LS</w:t>
      </w:r>
      <w:r w:rsidR="00FE0128">
        <w:rPr>
          <w:sz w:val="24"/>
          <w:lang w:val="en-US"/>
        </w:rPr>
        <w:t>s</w:t>
      </w:r>
      <w:r w:rsidR="00B37F97" w:rsidRPr="00B37F97">
        <w:rPr>
          <w:sz w:val="24"/>
          <w:lang w:val="en-US"/>
        </w:rPr>
        <w:t xml:space="preserve"> </w:t>
      </w:r>
      <w:r w:rsidR="00FE0128">
        <w:rPr>
          <w:sz w:val="24"/>
          <w:lang w:val="en-US"/>
        </w:rPr>
        <w:t xml:space="preserve">from RAN2/4 </w:t>
      </w:r>
      <w:r w:rsidR="00B37F97" w:rsidRPr="00B37F97">
        <w:rPr>
          <w:sz w:val="24"/>
          <w:lang w:val="en-US"/>
        </w:rPr>
        <w:t xml:space="preserve">on </w:t>
      </w:r>
      <w:r w:rsidR="00FE0128">
        <w:rPr>
          <w:sz w:val="24"/>
          <w:lang w:val="en-US"/>
        </w:rPr>
        <w:t>Rel-18 UL Tx switching</w:t>
      </w:r>
    </w:p>
    <w:bookmarkEnd w:id="1"/>
    <w:bookmarkEnd w:id="2"/>
    <w:bookmarkEnd w:id="3"/>
    <w:bookmarkEnd w:id="4"/>
    <w:p w14:paraId="02FF14B3" w14:textId="3D65698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47258">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EA7B253" w14:textId="3F7F70A0" w:rsidR="00047258" w:rsidRPr="001C4F6C" w:rsidRDefault="00FE0128" w:rsidP="001C4F6C">
      <w:pPr>
        <w:spacing w:afterLines="50" w:after="120"/>
        <w:jc w:val="both"/>
        <w:rPr>
          <w:rFonts w:eastAsiaTheme="minorEastAsia"/>
          <w:sz w:val="22"/>
        </w:rPr>
      </w:pPr>
      <w:r>
        <w:rPr>
          <w:rFonts w:eastAsiaTheme="minorEastAsia"/>
          <w:sz w:val="22"/>
        </w:rPr>
        <w:t>RAN1 received LSs from RAN2 and RAN4 regarding Rel-18 UL Tx switching [1-3].</w:t>
      </w:r>
    </w:p>
    <w:p w14:paraId="62622848" w14:textId="013FF174"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FE0128">
        <w:rPr>
          <w:rFonts w:eastAsiaTheme="minorEastAsia"/>
          <w:sz w:val="22"/>
        </w:rPr>
        <w:t>contents in each LS</w:t>
      </w:r>
      <w:r w:rsidRPr="001C4F6C">
        <w:rPr>
          <w:rFonts w:eastAsiaTheme="minorEastAsia"/>
          <w:sz w:val="22"/>
        </w:rPr>
        <w:t>.</w:t>
      </w:r>
    </w:p>
    <w:p w14:paraId="6AFB9D90" w14:textId="77777777" w:rsidR="00D01411" w:rsidRPr="00BF3940" w:rsidRDefault="00D01411" w:rsidP="00061F78">
      <w:pPr>
        <w:rPr>
          <w:sz w:val="22"/>
          <w:szCs w:val="22"/>
        </w:rPr>
      </w:pPr>
    </w:p>
    <w:p w14:paraId="5F713962" w14:textId="452F5F9E"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FE0128">
        <w:rPr>
          <w:rFonts w:eastAsia="DengXian"/>
          <w:b/>
          <w:lang w:val="en-US" w:eastAsia="zh-CN"/>
        </w:rPr>
        <w:t>RAN4 LS regarding definition and understanding of T</w:t>
      </w:r>
      <w:r w:rsidR="00FE0128" w:rsidRPr="00FE0128">
        <w:rPr>
          <w:rFonts w:eastAsia="DengXian"/>
          <w:b/>
          <w:vertAlign w:val="subscript"/>
          <w:lang w:val="en-US" w:eastAsia="zh-CN"/>
        </w:rPr>
        <w:t>0</w:t>
      </w:r>
      <w:r w:rsidR="00FE0128">
        <w:rPr>
          <w:rFonts w:eastAsia="DengXian"/>
          <w:b/>
          <w:lang w:val="en-US" w:eastAsia="zh-CN"/>
        </w:rPr>
        <w:t xml:space="preserve"> [1]</w:t>
      </w:r>
    </w:p>
    <w:p w14:paraId="228EBEC5" w14:textId="5D2799D1" w:rsidR="00B37F97" w:rsidRDefault="00FE0128" w:rsidP="00B37F97">
      <w:pPr>
        <w:spacing w:afterLines="50" w:after="120"/>
        <w:jc w:val="both"/>
        <w:rPr>
          <w:rFonts w:eastAsiaTheme="minorEastAsia"/>
          <w:sz w:val="22"/>
        </w:rPr>
      </w:pPr>
      <w:r>
        <w:rPr>
          <w:rFonts w:eastAsiaTheme="minorEastAsia"/>
          <w:sz w:val="22"/>
        </w:rPr>
        <w:t>In</w:t>
      </w:r>
      <w:r w:rsidR="00B37F97">
        <w:rPr>
          <w:rFonts w:eastAsiaTheme="minorEastAsia"/>
          <w:sz w:val="22"/>
        </w:rPr>
        <w:t xml:space="preserve"> [</w:t>
      </w:r>
      <w:r>
        <w:rPr>
          <w:rFonts w:eastAsiaTheme="minorEastAsia"/>
          <w:sz w:val="22"/>
        </w:rPr>
        <w:t>1</w:t>
      </w:r>
      <w:r w:rsidR="00B37F97">
        <w:rPr>
          <w:rFonts w:eastAsiaTheme="minorEastAsia"/>
          <w:sz w:val="22"/>
        </w:rPr>
        <w:t>]</w:t>
      </w:r>
      <w:r>
        <w:rPr>
          <w:rFonts w:eastAsiaTheme="minorEastAsia"/>
          <w:sz w:val="22"/>
        </w:rPr>
        <w:t>, RAN4 asked following question regarding the definition and understanding of T</w:t>
      </w:r>
      <w:r w:rsidRPr="00FE0128">
        <w:rPr>
          <w:rFonts w:eastAsiaTheme="minorEastAsia"/>
          <w:sz w:val="22"/>
          <w:vertAlign w:val="subscript"/>
        </w:rPr>
        <w:t>0</w:t>
      </w:r>
      <w:r w:rsidR="00B37F97">
        <w:rPr>
          <w:rFonts w:eastAsiaTheme="minorEastAsia"/>
          <w:sz w:val="22"/>
        </w:rPr>
        <w:t>.</w:t>
      </w:r>
    </w:p>
    <w:tbl>
      <w:tblPr>
        <w:tblStyle w:val="afc"/>
        <w:tblW w:w="0" w:type="auto"/>
        <w:tblLook w:val="04A0" w:firstRow="1" w:lastRow="0" w:firstColumn="1" w:lastColumn="0" w:noHBand="0" w:noVBand="1"/>
      </w:tblPr>
      <w:tblGrid>
        <w:gridCol w:w="9962"/>
      </w:tblGrid>
      <w:tr w:rsidR="00B37F97" w14:paraId="5DEC3015" w14:textId="77777777" w:rsidTr="00B37F97">
        <w:tc>
          <w:tcPr>
            <w:tcW w:w="9962" w:type="dxa"/>
          </w:tcPr>
          <w:p w14:paraId="1D2CA439" w14:textId="77777777" w:rsidR="00FE0128" w:rsidRPr="00FE0128" w:rsidRDefault="00FE0128" w:rsidP="00FE0128">
            <w:pPr>
              <w:spacing w:afterLines="50" w:after="120"/>
              <w:rPr>
                <w:rFonts w:ascii="Arial" w:eastAsia="SimSun" w:hAnsi="Arial" w:cs="Arial"/>
                <w:sz w:val="20"/>
                <w:lang w:eastAsia="zh-CN"/>
              </w:rPr>
            </w:pPr>
            <w:r w:rsidRPr="00FE0128">
              <w:rPr>
                <w:rFonts w:ascii="Arial" w:eastAsia="SimSun" w:hAnsi="Arial" w:cs="Arial"/>
                <w:bCs/>
                <w:iCs/>
                <w:sz w:val="20"/>
                <w:lang w:val="en-US" w:eastAsia="zh-CN"/>
              </w:rPr>
              <w:t xml:space="preserve">RAN4 would like to ask RAN1 one </w:t>
            </w:r>
            <w:r w:rsidRPr="00FE0128">
              <w:rPr>
                <w:rFonts w:ascii="Arial" w:eastAsia="SimSun" w:hAnsi="Arial" w:cs="Arial"/>
                <w:sz w:val="20"/>
                <w:lang w:eastAsia="zh-CN"/>
              </w:rPr>
              <w:t>question:</w:t>
            </w:r>
          </w:p>
          <w:p w14:paraId="54A4E36A" w14:textId="77777777" w:rsidR="00FE0128" w:rsidRPr="00FE0128" w:rsidRDefault="00FE0128" w:rsidP="00FE0128">
            <w:pPr>
              <w:spacing w:afterLines="50" w:after="120"/>
              <w:rPr>
                <w:rFonts w:ascii="Arial" w:eastAsia="SimSun" w:hAnsi="Arial" w:cs="Arial"/>
                <w:sz w:val="20"/>
                <w:lang w:eastAsia="zh-CN"/>
              </w:rPr>
            </w:pPr>
            <w:r w:rsidRPr="00FE0128">
              <w:rPr>
                <w:rFonts w:ascii="Arial" w:eastAsia="SimSun" w:hAnsi="Arial" w:cs="Arial"/>
                <w:sz w:val="20"/>
                <w:lang w:eastAsia="zh-CN"/>
              </w:rPr>
              <w:t xml:space="preserve">In sub-clause 6.1.6 of </w:t>
            </w:r>
            <w:r w:rsidRPr="00FE0128">
              <w:rPr>
                <w:rFonts w:ascii="Arial" w:eastAsia="Times New Roman" w:hAnsi="Arial" w:cs="Arial"/>
                <w:sz w:val="20"/>
                <w:lang w:eastAsia="en-GB"/>
              </w:rPr>
              <w:t>TS</w:t>
            </w:r>
            <w:r w:rsidRPr="00FE0128">
              <w:rPr>
                <w:rFonts w:ascii="Arial" w:eastAsia="Times New Roman" w:hAnsi="Arial" w:cs="Arial"/>
                <w:sz w:val="20"/>
                <w:lang w:eastAsia="zh-CN"/>
              </w:rPr>
              <w:t xml:space="preserve"> </w:t>
            </w:r>
            <w:r w:rsidRPr="00FE0128">
              <w:rPr>
                <w:rFonts w:ascii="Arial" w:eastAsia="Times New Roman" w:hAnsi="Arial" w:cs="Arial"/>
                <w:sz w:val="20"/>
                <w:lang w:eastAsia="en-GB"/>
              </w:rPr>
              <w:t>38.214</w:t>
            </w:r>
            <w:r w:rsidRPr="00FE0128">
              <w:rPr>
                <w:rFonts w:ascii="Arial" w:eastAsia="SimSun" w:hAnsi="Arial" w:cs="Arial"/>
                <w:sz w:val="20"/>
                <w:lang w:eastAsia="zh-CN"/>
              </w:rPr>
              <w:t>, it is specified that:</w:t>
            </w:r>
          </w:p>
          <w:p w14:paraId="54B54900" w14:textId="77777777" w:rsidR="00FE0128" w:rsidRPr="00FE0128" w:rsidRDefault="00FE0128" w:rsidP="00FE0128">
            <w:pPr>
              <w:ind w:leftChars="100" w:left="240"/>
              <w:rPr>
                <w:rFonts w:eastAsia="Times New Roman"/>
                <w:i/>
                <w:sz w:val="20"/>
                <w:lang w:val="en-US" w:eastAsia="en-GB"/>
              </w:rPr>
            </w:pPr>
            <w:r w:rsidRPr="00FE0128">
              <w:rPr>
                <w:rFonts w:eastAsia="Times New Roman"/>
                <w:i/>
                <w:sz w:val="20"/>
                <w:lang w:val="en-US" w:eastAsia="en-GB"/>
              </w:rPr>
              <w:t>If an uplink switching is triggered for an uplink transmission starting at T</w:t>
            </w:r>
            <w:r w:rsidRPr="00FE0128">
              <w:rPr>
                <w:rFonts w:eastAsia="Times New Roman"/>
                <w:i/>
                <w:sz w:val="20"/>
                <w:vertAlign w:val="subscript"/>
                <w:lang w:val="en-US" w:eastAsia="en-GB"/>
              </w:rPr>
              <w:t>0</w:t>
            </w:r>
            <w:r w:rsidRPr="00FE0128">
              <w:rPr>
                <w:rFonts w:eastAsia="Times New Roman"/>
                <w:i/>
                <w:sz w:val="20"/>
                <w:lang w:val="en-US" w:eastAsia="en-GB"/>
              </w:rPr>
              <w:t>, after T</w:t>
            </w:r>
            <w:r w:rsidRPr="00FE0128">
              <w:rPr>
                <w:rFonts w:eastAsia="Times New Roman"/>
                <w:i/>
                <w:sz w:val="20"/>
                <w:vertAlign w:val="subscript"/>
                <w:lang w:val="en-US" w:eastAsia="en-GB"/>
              </w:rPr>
              <w:t>0</w:t>
            </w:r>
            <w:r w:rsidRPr="00FE0128">
              <w:rPr>
                <w:rFonts w:eastAsia="Times New Roman"/>
                <w:i/>
                <w:sz w:val="20"/>
                <w:lang w:val="en-US" w:eastAsia="en-GB"/>
              </w:rPr>
              <w:t>-T</w:t>
            </w:r>
            <w:r w:rsidRPr="00FE0128">
              <w:rPr>
                <w:rFonts w:eastAsia="Times New Roman"/>
                <w:i/>
                <w:sz w:val="20"/>
                <w:vertAlign w:val="subscript"/>
                <w:lang w:val="en-US" w:eastAsia="en-GB"/>
              </w:rPr>
              <w:t>offset</w:t>
            </w:r>
            <w:r w:rsidRPr="00FE0128">
              <w:rPr>
                <w:rFonts w:eastAsia="Times New Roman"/>
                <w:i/>
                <w:sz w:val="20"/>
                <w:lang w:val="en-US" w:eastAsia="en-GB"/>
              </w:rPr>
              <w:t>, the UE is not expected to cancel the uplink switching, or to trigger any other new uplink switching occurring before T</w:t>
            </w:r>
            <w:r w:rsidRPr="00FE0128">
              <w:rPr>
                <w:rFonts w:eastAsia="Times New Roman"/>
                <w:i/>
                <w:sz w:val="20"/>
                <w:vertAlign w:val="subscript"/>
                <w:lang w:val="en-US" w:eastAsia="en-GB"/>
              </w:rPr>
              <w:t>0</w:t>
            </w:r>
            <w:r w:rsidRPr="00FE0128">
              <w:rPr>
                <w:rFonts w:eastAsia="Times New Roman"/>
                <w:i/>
                <w:sz w:val="20"/>
                <w:lang w:val="en-US" w:eastAsia="en-GB"/>
              </w:rPr>
              <w:t xml:space="preserve"> for any other uplink transmission that is scheduled after T</w:t>
            </w:r>
            <w:r w:rsidRPr="00FE0128">
              <w:rPr>
                <w:rFonts w:eastAsia="Times New Roman"/>
                <w:i/>
                <w:sz w:val="20"/>
                <w:vertAlign w:val="subscript"/>
                <w:lang w:val="en-US" w:eastAsia="en-GB"/>
              </w:rPr>
              <w:t>0</w:t>
            </w:r>
            <w:r w:rsidRPr="00FE0128">
              <w:rPr>
                <w:rFonts w:eastAsia="Times New Roman"/>
                <w:i/>
                <w:sz w:val="20"/>
                <w:lang w:val="en-US" w:eastAsia="en-GB"/>
              </w:rPr>
              <w:t>-T</w:t>
            </w:r>
            <w:r w:rsidRPr="00FE0128">
              <w:rPr>
                <w:rFonts w:eastAsia="Times New Roman"/>
                <w:i/>
                <w:sz w:val="20"/>
                <w:vertAlign w:val="subscript"/>
                <w:lang w:val="en-US" w:eastAsia="en-GB"/>
              </w:rPr>
              <w:t>offset</w:t>
            </w:r>
            <w:r w:rsidRPr="00FE0128">
              <w:rPr>
                <w:rFonts w:eastAsia="Times New Roman"/>
                <w:i/>
                <w:sz w:val="20"/>
                <w:lang w:val="en-US" w:eastAsia="en-GB"/>
              </w:rPr>
              <w:t>, where T</w:t>
            </w:r>
            <w:r w:rsidRPr="00FE0128">
              <w:rPr>
                <w:rFonts w:eastAsia="Times New Roman"/>
                <w:i/>
                <w:sz w:val="20"/>
                <w:vertAlign w:val="subscript"/>
                <w:lang w:val="en-US" w:eastAsia="en-GB"/>
              </w:rPr>
              <w:t>offset</w:t>
            </w:r>
            <w:r w:rsidRPr="00FE0128">
              <w:rPr>
                <w:rFonts w:eastAsia="Times New Roman"/>
                <w:i/>
                <w:sz w:val="20"/>
                <w:lang w:val="en-US" w:eastAsia="en-GB"/>
              </w:rPr>
              <w:t xml:space="preserve"> is the UE processing procedure time defined for the uplink transmission triggering the switch given in clause 5.3, clause 5.4, clause 6.2.1, clause 6.4 and in clause 9 of [6, TS 38.213].</w:t>
            </w:r>
          </w:p>
          <w:p w14:paraId="49BE69A1" w14:textId="77777777" w:rsidR="00FE0128" w:rsidRPr="00FE0128" w:rsidRDefault="00FE0128" w:rsidP="00FE0128">
            <w:pPr>
              <w:spacing w:afterLines="50" w:after="120"/>
              <w:rPr>
                <w:rFonts w:ascii="Arial" w:eastAsia="SimSun" w:hAnsi="Arial" w:cs="Arial"/>
                <w:bCs/>
                <w:iCs/>
                <w:sz w:val="20"/>
                <w:lang w:eastAsia="zh-CN"/>
              </w:rPr>
            </w:pPr>
            <w:r w:rsidRPr="00FE0128">
              <w:rPr>
                <w:rFonts w:ascii="Arial" w:eastAsia="SimSun" w:hAnsi="Arial" w:cs="Arial"/>
                <w:bCs/>
                <w:iCs/>
                <w:sz w:val="20"/>
                <w:lang w:val="en-US" w:eastAsia="zh-CN"/>
              </w:rPr>
              <w:t xml:space="preserve">On the definition and understanding of </w:t>
            </w:r>
            <w:r w:rsidRPr="00FE0128">
              <w:rPr>
                <w:rFonts w:ascii="Arial" w:eastAsia="Times New Roman" w:hAnsi="Arial" w:cs="Arial"/>
                <w:sz w:val="20"/>
                <w:lang w:eastAsia="en-GB"/>
              </w:rPr>
              <w:t>T</w:t>
            </w:r>
            <w:r w:rsidRPr="00FE0128">
              <w:rPr>
                <w:rFonts w:ascii="Arial" w:eastAsia="Times New Roman" w:hAnsi="Arial" w:cs="Arial"/>
                <w:sz w:val="20"/>
                <w:vertAlign w:val="subscript"/>
                <w:lang w:eastAsia="en-GB"/>
              </w:rPr>
              <w:t>0</w:t>
            </w:r>
            <w:r w:rsidRPr="00FE0128">
              <w:rPr>
                <w:rFonts w:ascii="Arial" w:eastAsia="SimSun" w:hAnsi="Arial" w:cs="Arial"/>
                <w:sz w:val="20"/>
                <w:lang w:eastAsia="zh-CN"/>
              </w:rPr>
              <w:t>:</w:t>
            </w:r>
          </w:p>
          <w:p w14:paraId="12AF9E04" w14:textId="77777777" w:rsidR="00FE0128" w:rsidRDefault="00FE0128" w:rsidP="00FE0128">
            <w:pPr>
              <w:numPr>
                <w:ilvl w:val="0"/>
                <w:numId w:val="32"/>
              </w:numPr>
              <w:spacing w:afterLines="50" w:after="120"/>
              <w:ind w:left="284" w:hanging="284"/>
              <w:rPr>
                <w:rFonts w:ascii="Arial" w:eastAsia="SimSun" w:hAnsi="Arial" w:cs="Arial"/>
                <w:bCs/>
                <w:iCs/>
                <w:sz w:val="20"/>
                <w:lang w:eastAsia="zh-CN"/>
              </w:rPr>
            </w:pPr>
            <w:r w:rsidRPr="00FE0128">
              <w:rPr>
                <w:rFonts w:ascii="Arial" w:eastAsia="SimSun" w:hAnsi="Arial" w:cs="Arial"/>
                <w:bCs/>
                <w:iCs/>
                <w:sz w:val="20"/>
                <w:lang w:eastAsia="zh-CN"/>
              </w:rPr>
              <w:t xml:space="preserve">When gNB provides sufficient time between the end of the UL transmission on the switch-from carrier and the start of the UL transmission on the switch-to carrier, in RAN4 understanding, the </w:t>
            </w:r>
            <w:r w:rsidRPr="00FE0128">
              <w:rPr>
                <w:rFonts w:ascii="Arial" w:eastAsia="Times New Roman" w:hAnsi="Arial" w:cs="Arial"/>
                <w:sz w:val="20"/>
                <w:lang w:eastAsia="en-GB"/>
              </w:rPr>
              <w:t>T</w:t>
            </w:r>
            <w:r w:rsidRPr="00FE0128">
              <w:rPr>
                <w:rFonts w:ascii="Arial" w:eastAsia="Times New Roman" w:hAnsi="Arial" w:cs="Arial"/>
                <w:sz w:val="20"/>
                <w:vertAlign w:val="subscript"/>
                <w:lang w:eastAsia="en-GB"/>
              </w:rPr>
              <w:t>0</w:t>
            </w:r>
            <w:r w:rsidRPr="00FE0128">
              <w:rPr>
                <w:rFonts w:ascii="Arial" w:eastAsia="SimSun" w:hAnsi="Arial" w:cs="Arial"/>
                <w:bCs/>
                <w:iCs/>
                <w:sz w:val="20"/>
                <w:lang w:eastAsia="zh-CN"/>
              </w:rPr>
              <w:t xml:space="preserve"> is the starting time for an uplink transmission on the switched-to carrier from network scheduling perspective and the starting time of actual uplink transmission from UE perspective. </w:t>
            </w:r>
          </w:p>
          <w:p w14:paraId="46D7BFF7" w14:textId="066603E2" w:rsidR="00B37F97" w:rsidRPr="00FE0128" w:rsidRDefault="00FE0128" w:rsidP="00FE0128">
            <w:pPr>
              <w:numPr>
                <w:ilvl w:val="0"/>
                <w:numId w:val="32"/>
              </w:numPr>
              <w:spacing w:afterLines="50" w:after="120"/>
              <w:ind w:left="284" w:hanging="284"/>
              <w:rPr>
                <w:rFonts w:ascii="Arial" w:eastAsia="SimSun" w:hAnsi="Arial" w:cs="Arial"/>
                <w:bCs/>
                <w:iCs/>
                <w:sz w:val="20"/>
                <w:lang w:eastAsia="zh-CN"/>
              </w:rPr>
            </w:pPr>
            <w:r w:rsidRPr="00FE0128">
              <w:rPr>
                <w:rFonts w:ascii="Arial" w:eastAsia="SimSun" w:hAnsi="Arial" w:cs="Arial"/>
                <w:bCs/>
                <w:iCs/>
                <w:sz w:val="20"/>
                <w:lang w:eastAsia="zh-CN"/>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FE0128">
              <w:rPr>
                <w:rFonts w:ascii="Arial" w:eastAsia="SimSun" w:hAnsi="Arial" w:cs="Arial"/>
                <w:bCs/>
                <w:i/>
                <w:iCs/>
                <w:sz w:val="20"/>
                <w:lang w:eastAsia="zh-CN"/>
              </w:rPr>
              <w:t xml:space="preserve">uplinkTxSwitchingPeriodLocation, </w:t>
            </w:r>
            <w:r w:rsidRPr="00FE0128">
              <w:rPr>
                <w:rFonts w:ascii="Arial" w:eastAsia="SimSun" w:hAnsi="Arial" w:cs="Arial"/>
                <w:bCs/>
                <w:iCs/>
                <w:sz w:val="20"/>
                <w:lang w:eastAsia="zh-CN"/>
              </w:rPr>
              <w:t xml:space="preserve">UE may omit uplink transmission on certain symbol(s) on the switch-to carrier. In this case, is </w:t>
            </w:r>
            <w:r w:rsidRPr="00FE0128">
              <w:rPr>
                <w:rFonts w:ascii="Arial" w:eastAsia="Times New Roman" w:hAnsi="Arial" w:cs="Arial"/>
                <w:sz w:val="20"/>
                <w:lang w:eastAsia="en-GB"/>
              </w:rPr>
              <w:t>T</w:t>
            </w:r>
            <w:r w:rsidRPr="00FE0128">
              <w:rPr>
                <w:rFonts w:ascii="Arial" w:eastAsia="Times New Roman" w:hAnsi="Arial" w:cs="Arial"/>
                <w:sz w:val="20"/>
                <w:vertAlign w:val="subscript"/>
                <w:lang w:eastAsia="en-GB"/>
              </w:rPr>
              <w:t>0</w:t>
            </w:r>
            <w:r w:rsidRPr="00FE0128">
              <w:rPr>
                <w:rFonts w:ascii="Arial" w:eastAsia="SimSun" w:hAnsi="Arial" w:cs="Arial"/>
                <w:bCs/>
                <w:iCs/>
                <w:sz w:val="20"/>
                <w:lang w:eastAsia="zh-CN"/>
              </w:rPr>
              <w:t xml:space="preserve"> the</w:t>
            </w:r>
            <w:r w:rsidRPr="00FE0128">
              <w:rPr>
                <w:rFonts w:eastAsia="Times New Roman"/>
                <w:sz w:val="20"/>
                <w:lang w:eastAsia="en-GB"/>
              </w:rPr>
              <w:t xml:space="preserve"> </w:t>
            </w:r>
            <w:r w:rsidRPr="00FE0128">
              <w:rPr>
                <w:rFonts w:ascii="Arial" w:eastAsia="SimSun" w:hAnsi="Arial" w:cs="Arial"/>
                <w:bCs/>
                <w:iCs/>
                <w:sz w:val="20"/>
                <w:lang w:eastAsia="zh-CN"/>
              </w:rPr>
              <w:t>starting time of uplink transmission from network scheduling perspective, or the starting time of actual uplink transmission from UE perspective?</w:t>
            </w:r>
          </w:p>
        </w:tc>
      </w:tr>
    </w:tbl>
    <w:p w14:paraId="793397FE" w14:textId="764DC52B" w:rsidR="00B37F97" w:rsidRDefault="00B37F97" w:rsidP="00B37F97">
      <w:pPr>
        <w:spacing w:afterLines="50" w:after="120"/>
        <w:jc w:val="both"/>
        <w:rPr>
          <w:rFonts w:eastAsiaTheme="minorEastAsia"/>
          <w:sz w:val="22"/>
        </w:rPr>
      </w:pPr>
    </w:p>
    <w:p w14:paraId="2091E8A8" w14:textId="179794F3" w:rsidR="00FE0128" w:rsidRDefault="00FE0128" w:rsidP="00B37F97">
      <w:pPr>
        <w:spacing w:afterLines="50" w:after="120"/>
        <w:jc w:val="both"/>
        <w:rPr>
          <w:rFonts w:eastAsiaTheme="minorEastAsia"/>
          <w:sz w:val="22"/>
        </w:rPr>
      </w:pPr>
      <w:r>
        <w:rPr>
          <w:rFonts w:eastAsiaTheme="minorEastAsia"/>
          <w:sz w:val="22"/>
        </w:rPr>
        <w:t>As described in the first bullet in above RAN4 LS, when gNB provides sufficient time gap before T</w:t>
      </w:r>
      <w:r w:rsidRPr="00FE0128">
        <w:rPr>
          <w:rFonts w:eastAsiaTheme="minorEastAsia"/>
          <w:sz w:val="22"/>
          <w:vertAlign w:val="subscript"/>
        </w:rPr>
        <w:t>0</w:t>
      </w:r>
      <w:r>
        <w:rPr>
          <w:rFonts w:eastAsiaTheme="minorEastAsia"/>
          <w:sz w:val="22"/>
        </w:rPr>
        <w:t>, T</w:t>
      </w:r>
      <w:r w:rsidRPr="00FE0128">
        <w:rPr>
          <w:rFonts w:eastAsiaTheme="minorEastAsia"/>
          <w:sz w:val="22"/>
          <w:vertAlign w:val="subscript"/>
        </w:rPr>
        <w:t>0</w:t>
      </w:r>
      <w:r>
        <w:rPr>
          <w:rFonts w:eastAsiaTheme="minorEastAsia"/>
          <w:sz w:val="22"/>
        </w:rPr>
        <w:t xml:space="preserve"> is the start timing of scheduled UL transmission, and it is also the start timing of actual UL transmission after switching. This is aligned with the following agreement made at the RAN1#112 that when gNB provides sufficient time gap before T</w:t>
      </w:r>
      <w:r w:rsidRPr="00FE0128">
        <w:rPr>
          <w:rFonts w:eastAsiaTheme="minorEastAsia"/>
          <w:sz w:val="22"/>
          <w:vertAlign w:val="subscript"/>
        </w:rPr>
        <w:t>0</w:t>
      </w:r>
      <w:r>
        <w:rPr>
          <w:rFonts w:eastAsiaTheme="minorEastAsia"/>
          <w:sz w:val="22"/>
        </w:rPr>
        <w:t>, the switching period is absorbed by the time of no UL transmission allocated so that there is no interruption on the scheduled UL transmission starting from T</w:t>
      </w:r>
      <w:r w:rsidRPr="00FE0128">
        <w:rPr>
          <w:rFonts w:eastAsiaTheme="minorEastAsia"/>
          <w:sz w:val="22"/>
          <w:vertAlign w:val="subscript"/>
        </w:rPr>
        <w:t>0</w:t>
      </w:r>
      <w:r>
        <w:rPr>
          <w:rFonts w:eastAsiaTheme="minorEastAsia"/>
          <w:sz w:val="22"/>
        </w:rPr>
        <w:t>.</w:t>
      </w:r>
    </w:p>
    <w:tbl>
      <w:tblPr>
        <w:tblStyle w:val="afc"/>
        <w:tblW w:w="0" w:type="auto"/>
        <w:tblLook w:val="04A0" w:firstRow="1" w:lastRow="0" w:firstColumn="1" w:lastColumn="0" w:noHBand="0" w:noVBand="1"/>
      </w:tblPr>
      <w:tblGrid>
        <w:gridCol w:w="9962"/>
      </w:tblGrid>
      <w:tr w:rsidR="00FE0128" w14:paraId="41781089" w14:textId="77777777" w:rsidTr="00FE0128">
        <w:tc>
          <w:tcPr>
            <w:tcW w:w="9962" w:type="dxa"/>
          </w:tcPr>
          <w:p w14:paraId="725F72E7" w14:textId="77777777" w:rsidR="00FE0128" w:rsidRPr="00FE0128" w:rsidRDefault="00FE0128" w:rsidP="00FE0128">
            <w:pPr>
              <w:rPr>
                <w:rFonts w:ascii="Times" w:eastAsia="Batang" w:hAnsi="Times"/>
                <w:sz w:val="20"/>
                <w:szCs w:val="24"/>
                <w:highlight w:val="green"/>
                <w:lang w:eastAsia="en-US"/>
              </w:rPr>
            </w:pPr>
            <w:r w:rsidRPr="00FE0128">
              <w:rPr>
                <w:rFonts w:ascii="Times" w:eastAsia="Batang" w:hAnsi="Times"/>
                <w:sz w:val="20"/>
                <w:szCs w:val="24"/>
                <w:highlight w:val="green"/>
                <w:lang w:eastAsia="en-US"/>
              </w:rPr>
              <w:t>Agreement</w:t>
            </w:r>
          </w:p>
          <w:p w14:paraId="52C80306" w14:textId="77777777" w:rsidR="00FE0128" w:rsidRPr="00FE0128" w:rsidRDefault="00FE0128" w:rsidP="00FE0128">
            <w:pPr>
              <w:numPr>
                <w:ilvl w:val="0"/>
                <w:numId w:val="33"/>
              </w:numPr>
              <w:contextualSpacing/>
              <w:rPr>
                <w:rFonts w:eastAsia="SimSun"/>
                <w:sz w:val="20"/>
                <w:lang w:eastAsia="x-none"/>
              </w:rPr>
            </w:pPr>
            <w:r w:rsidRPr="00FE0128">
              <w:rPr>
                <w:rFonts w:eastAsia="SimSun"/>
                <w:sz w:val="20"/>
                <w:lang w:eastAsia="x-none"/>
              </w:rPr>
              <w:t>If the gNB provides sufficient time between the end of the UL transmission on the switch-from carrier and the start of the UL transmission on the switch-to carrier to absorb the switching period,</w:t>
            </w:r>
          </w:p>
          <w:p w14:paraId="5E28E7CD" w14:textId="77777777" w:rsidR="00FE0128" w:rsidRPr="00FE0128" w:rsidRDefault="00FE0128" w:rsidP="00FE0128">
            <w:pPr>
              <w:numPr>
                <w:ilvl w:val="1"/>
                <w:numId w:val="33"/>
              </w:numPr>
              <w:contextualSpacing/>
              <w:rPr>
                <w:rFonts w:eastAsia="SimSun"/>
                <w:sz w:val="20"/>
                <w:lang w:eastAsia="x-none"/>
              </w:rPr>
            </w:pPr>
            <w:r w:rsidRPr="00FE0128">
              <w:rPr>
                <w:rFonts w:eastAsia="SimSun"/>
                <w:sz w:val="20"/>
                <w:lang w:eastAsia="x-none"/>
              </w:rPr>
              <w:t>The time of no UL transmission allocated absorbs the switching period</w:t>
            </w:r>
          </w:p>
          <w:p w14:paraId="62518F84" w14:textId="77777777" w:rsidR="00FE0128" w:rsidRPr="00FE0128" w:rsidRDefault="00FE0128" w:rsidP="00FE0128">
            <w:pPr>
              <w:numPr>
                <w:ilvl w:val="1"/>
                <w:numId w:val="33"/>
              </w:numPr>
              <w:contextualSpacing/>
              <w:rPr>
                <w:rFonts w:eastAsia="SimSun"/>
                <w:sz w:val="20"/>
                <w:lang w:eastAsia="x-none"/>
              </w:rPr>
            </w:pPr>
            <w:r w:rsidRPr="00FE0128">
              <w:rPr>
                <w:rFonts w:eastAsia="SimSun"/>
                <w:sz w:val="20"/>
                <w:lang w:eastAsia="x-none"/>
              </w:rPr>
              <w:t>Neither of the uplink transmissions (the one ending on the switch-from carrier nor the one starting on the switch-to carrier) are interrupted by the switching period.</w:t>
            </w:r>
          </w:p>
          <w:p w14:paraId="68773D50" w14:textId="25A7C944" w:rsidR="00FE0128" w:rsidRPr="00FE0128" w:rsidRDefault="00FE0128" w:rsidP="00FE0128">
            <w:pPr>
              <w:numPr>
                <w:ilvl w:val="1"/>
                <w:numId w:val="33"/>
              </w:numPr>
              <w:contextualSpacing/>
              <w:rPr>
                <w:rFonts w:eastAsia="SimSun"/>
                <w:sz w:val="20"/>
                <w:lang w:eastAsia="x-none"/>
              </w:rPr>
            </w:pPr>
            <w:r w:rsidRPr="00FE0128">
              <w:rPr>
                <w:rFonts w:eastAsia="SimSun"/>
                <w:sz w:val="20"/>
                <w:lang w:eastAsia="x-none"/>
              </w:rPr>
              <w:t xml:space="preserve">The setting of </w:t>
            </w:r>
            <w:r w:rsidRPr="00FE0128">
              <w:rPr>
                <w:rFonts w:eastAsia="SimSun"/>
                <w:i/>
                <w:sz w:val="20"/>
                <w:lang w:eastAsia="x-none"/>
              </w:rPr>
              <w:t xml:space="preserve">uplinkTxSwitchingPeriodLocation </w:t>
            </w:r>
            <w:r w:rsidRPr="00FE0128">
              <w:rPr>
                <w:rFonts w:eastAsia="SimSun"/>
                <w:sz w:val="20"/>
                <w:lang w:eastAsia="x-none"/>
              </w:rPr>
              <w:t>has no impact.</w:t>
            </w:r>
          </w:p>
        </w:tc>
      </w:tr>
    </w:tbl>
    <w:p w14:paraId="7D6F2D10" w14:textId="4A972907" w:rsidR="00FE0128" w:rsidRDefault="00FE0128" w:rsidP="00B37F97">
      <w:pPr>
        <w:spacing w:afterLines="50" w:after="120"/>
        <w:jc w:val="both"/>
        <w:rPr>
          <w:rFonts w:eastAsiaTheme="minorEastAsia"/>
          <w:sz w:val="22"/>
        </w:rPr>
      </w:pPr>
      <w:r>
        <w:rPr>
          <w:rFonts w:eastAsiaTheme="minorEastAsia" w:hint="eastAsia"/>
          <w:sz w:val="22"/>
        </w:rPr>
        <w:t>O</w:t>
      </w:r>
      <w:r>
        <w:rPr>
          <w:rFonts w:eastAsiaTheme="minorEastAsia"/>
          <w:sz w:val="22"/>
        </w:rPr>
        <w:t xml:space="preserve">n the other hand, as described in the second bullet in above RAN4 LS, when gNB does not provide sufficient time gap between </w:t>
      </w:r>
      <w:r w:rsidRPr="00FE0128">
        <w:rPr>
          <w:rFonts w:eastAsiaTheme="minorEastAsia"/>
          <w:sz w:val="22"/>
        </w:rPr>
        <w:t xml:space="preserve">the end of the UL transmission on the switch-from carrier and the start of the UL transmission </w:t>
      </w:r>
      <w:r w:rsidRPr="00FE0128">
        <w:rPr>
          <w:rFonts w:eastAsiaTheme="minorEastAsia"/>
          <w:sz w:val="22"/>
        </w:rPr>
        <w:lastRenderedPageBreak/>
        <w:t>on the switch-to carrier</w:t>
      </w:r>
      <w:r>
        <w:rPr>
          <w:rFonts w:eastAsiaTheme="minorEastAsia"/>
          <w:sz w:val="22"/>
        </w:rPr>
        <w:t>, the starting time of actual UL transmission may or may not be aligned with the starting time of scheduled UL transmission depending on whether the switching period is located on the switch-from carrier(s) or the switch-to carrier(s). When the starting time of actual UL transmission and the starting time of scheduled UL transmission are not aligned due to the switching period located on the switch-to carrier(s), we think T</w:t>
      </w:r>
      <w:r w:rsidRPr="00FE0128">
        <w:rPr>
          <w:rFonts w:eastAsiaTheme="minorEastAsia"/>
          <w:sz w:val="22"/>
          <w:vertAlign w:val="subscript"/>
        </w:rPr>
        <w:t>0</w:t>
      </w:r>
      <w:r>
        <w:rPr>
          <w:rFonts w:eastAsiaTheme="minorEastAsia"/>
          <w:sz w:val="22"/>
        </w:rPr>
        <w:t xml:space="preserve"> should be the starting time of scheduled UL transmission which is earlier than the starting time of actual UL transmission (T</w:t>
      </w:r>
      <w:r w:rsidRPr="00FE0128">
        <w:rPr>
          <w:rFonts w:eastAsiaTheme="minorEastAsia"/>
          <w:sz w:val="22"/>
          <w:vertAlign w:val="subscript"/>
        </w:rPr>
        <w:t>0</w:t>
      </w:r>
      <w:r>
        <w:rPr>
          <w:rFonts w:eastAsiaTheme="minorEastAsia"/>
          <w:sz w:val="22"/>
        </w:rPr>
        <w:t xml:space="preserve"> + switching period). Since the switching period location can be determined after the switch-to carrier(s) is/are indicated by UL scheduling information, the starting time of actual transmission may not be determined just after the reception of the UL scheduling information. Hence, if T</w:t>
      </w:r>
      <w:r w:rsidRPr="00FE0128">
        <w:rPr>
          <w:rFonts w:eastAsiaTheme="minorEastAsia"/>
          <w:sz w:val="22"/>
          <w:vertAlign w:val="subscript"/>
        </w:rPr>
        <w:t>0</w:t>
      </w:r>
      <w:r>
        <w:rPr>
          <w:rFonts w:eastAsiaTheme="minorEastAsia"/>
          <w:sz w:val="22"/>
        </w:rPr>
        <w:t xml:space="preserve"> is the starting time of actual UL transmission, the timing that UE can determine T</w:t>
      </w:r>
      <w:r w:rsidRPr="00FE0128">
        <w:rPr>
          <w:rFonts w:eastAsiaTheme="minorEastAsia"/>
          <w:sz w:val="22"/>
          <w:vertAlign w:val="subscript"/>
        </w:rPr>
        <w:t>0</w:t>
      </w:r>
      <w:r>
        <w:rPr>
          <w:rFonts w:eastAsiaTheme="minorEastAsia"/>
          <w:sz w:val="22"/>
        </w:rPr>
        <w:t xml:space="preserve"> – T</w:t>
      </w:r>
      <w:r w:rsidRPr="00FE0128">
        <w:rPr>
          <w:rFonts w:eastAsiaTheme="minorEastAsia"/>
          <w:sz w:val="22"/>
          <w:vertAlign w:val="subscript"/>
        </w:rPr>
        <w:t>offset</w:t>
      </w:r>
      <w:r>
        <w:rPr>
          <w:rFonts w:eastAsiaTheme="minorEastAsia"/>
          <w:sz w:val="22"/>
        </w:rPr>
        <w:t xml:space="preserve"> is unclear for gNB. </w:t>
      </w:r>
    </w:p>
    <w:p w14:paraId="07AE73A5" w14:textId="3E3B3603" w:rsidR="00FE0128" w:rsidRDefault="00FE0128" w:rsidP="00FE0128">
      <w:pPr>
        <w:spacing w:afterLines="50" w:after="120"/>
        <w:jc w:val="both"/>
        <w:rPr>
          <w:rFonts w:eastAsia="ＭＳ 明朝"/>
          <w:b/>
          <w:bCs/>
          <w:sz w:val="22"/>
          <w:szCs w:val="22"/>
          <w:lang w:val="en-US"/>
        </w:rPr>
      </w:pPr>
      <w:r>
        <w:rPr>
          <w:rFonts w:eastAsia="ＭＳ 明朝"/>
          <w:b/>
          <w:bCs/>
          <w:sz w:val="22"/>
          <w:szCs w:val="22"/>
          <w:lang w:val="en-US"/>
        </w:rPr>
        <w:t>Proposal 1: RAN1 answer to RAN4 question in R1-2304313 is below.</w:t>
      </w:r>
    </w:p>
    <w:p w14:paraId="0093F426" w14:textId="78088E89" w:rsidR="00FE0128" w:rsidRPr="00FE0128" w:rsidRDefault="00FE0128" w:rsidP="00FE0128">
      <w:pPr>
        <w:pStyle w:val="afe"/>
        <w:numPr>
          <w:ilvl w:val="0"/>
          <w:numId w:val="34"/>
        </w:numPr>
        <w:spacing w:afterLines="50" w:after="120"/>
        <w:ind w:leftChars="0"/>
        <w:jc w:val="both"/>
        <w:rPr>
          <w:rFonts w:eastAsia="ＭＳ 明朝"/>
          <w:b/>
          <w:bCs/>
          <w:sz w:val="22"/>
          <w:szCs w:val="22"/>
          <w:lang w:val="en-US"/>
        </w:rPr>
      </w:pPr>
      <w:r w:rsidRPr="00FE0128">
        <w:rPr>
          <w:rFonts w:eastAsia="ＭＳ 明朝"/>
          <w:b/>
          <w:bCs/>
          <w:iCs/>
          <w:sz w:val="22"/>
          <w:szCs w:val="22"/>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FE0128">
        <w:rPr>
          <w:rFonts w:eastAsia="ＭＳ 明朝"/>
          <w:b/>
          <w:bCs/>
          <w:i/>
          <w:iCs/>
          <w:sz w:val="22"/>
          <w:szCs w:val="22"/>
        </w:rPr>
        <w:t>uplinkTxSwitchingPeriodLocation</w:t>
      </w:r>
      <w:r w:rsidRPr="00FE0128">
        <w:rPr>
          <w:rFonts w:eastAsia="ＭＳ 明朝"/>
          <w:b/>
          <w:bCs/>
          <w:sz w:val="22"/>
          <w:szCs w:val="22"/>
        </w:rPr>
        <w:t xml:space="preserve">, </w:t>
      </w:r>
      <w:r>
        <w:rPr>
          <w:rFonts w:eastAsia="ＭＳ 明朝"/>
          <w:b/>
          <w:bCs/>
          <w:sz w:val="22"/>
          <w:szCs w:val="22"/>
        </w:rPr>
        <w:t>the T</w:t>
      </w:r>
      <w:r w:rsidRPr="00FE0128">
        <w:rPr>
          <w:rFonts w:eastAsia="ＭＳ 明朝"/>
          <w:b/>
          <w:bCs/>
          <w:sz w:val="22"/>
          <w:szCs w:val="22"/>
          <w:vertAlign w:val="subscript"/>
        </w:rPr>
        <w:t>0</w:t>
      </w:r>
      <w:r>
        <w:rPr>
          <w:rFonts w:eastAsia="ＭＳ 明朝"/>
          <w:b/>
          <w:bCs/>
          <w:sz w:val="22"/>
          <w:szCs w:val="22"/>
        </w:rPr>
        <w:t xml:space="preserve"> is the </w:t>
      </w:r>
      <w:r w:rsidRPr="00FE0128">
        <w:rPr>
          <w:rFonts w:eastAsia="ＭＳ 明朝"/>
          <w:b/>
          <w:bCs/>
          <w:iCs/>
          <w:sz w:val="22"/>
          <w:szCs w:val="22"/>
        </w:rPr>
        <w:t>starting time for an uplink transmission on the switched-to carrier from network scheduling perspective</w:t>
      </w:r>
      <w:r>
        <w:rPr>
          <w:rFonts w:eastAsia="ＭＳ 明朝"/>
          <w:b/>
          <w:bCs/>
          <w:iCs/>
          <w:sz w:val="22"/>
          <w:szCs w:val="22"/>
        </w:rPr>
        <w:t>.</w:t>
      </w:r>
    </w:p>
    <w:p w14:paraId="1F8BE614" w14:textId="77777777" w:rsidR="00FE0128" w:rsidRPr="00FE0128" w:rsidRDefault="00FE0128" w:rsidP="00B37F97">
      <w:pPr>
        <w:spacing w:afterLines="50" w:after="120"/>
        <w:jc w:val="both"/>
        <w:rPr>
          <w:rFonts w:eastAsiaTheme="minorEastAsia"/>
          <w:sz w:val="22"/>
        </w:rPr>
      </w:pPr>
    </w:p>
    <w:p w14:paraId="5BBD14AA" w14:textId="08CC7FAE" w:rsidR="00FE0128" w:rsidRDefault="00FE0128" w:rsidP="00B37F97">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RAN4 also informed following agreement regarding fallback to Rel-16/17 UL Tx switching, and we think it is mainly information to RAN2 for capability design. </w:t>
      </w:r>
    </w:p>
    <w:tbl>
      <w:tblPr>
        <w:tblStyle w:val="afc"/>
        <w:tblW w:w="0" w:type="auto"/>
        <w:tblLook w:val="04A0" w:firstRow="1" w:lastRow="0" w:firstColumn="1" w:lastColumn="0" w:noHBand="0" w:noVBand="1"/>
      </w:tblPr>
      <w:tblGrid>
        <w:gridCol w:w="9962"/>
      </w:tblGrid>
      <w:tr w:rsidR="00FE0128" w14:paraId="01C49441" w14:textId="77777777" w:rsidTr="00FE0128">
        <w:tc>
          <w:tcPr>
            <w:tcW w:w="9962" w:type="dxa"/>
          </w:tcPr>
          <w:p w14:paraId="0B559AFC" w14:textId="77777777" w:rsidR="00FE0128" w:rsidRPr="00FE0128" w:rsidRDefault="00FE0128" w:rsidP="00FE0128">
            <w:pPr>
              <w:numPr>
                <w:ilvl w:val="0"/>
                <w:numId w:val="32"/>
              </w:numPr>
              <w:spacing w:afterLines="50" w:after="120"/>
              <w:ind w:left="284" w:hanging="284"/>
              <w:rPr>
                <w:rFonts w:ascii="Arial" w:eastAsia="SimSun" w:hAnsi="Arial" w:cs="Arial"/>
                <w:bCs/>
                <w:iCs/>
                <w:sz w:val="20"/>
                <w:lang w:eastAsia="zh-CN"/>
              </w:rPr>
            </w:pPr>
            <w:r w:rsidRPr="00FE0128">
              <w:rPr>
                <w:rFonts w:ascii="Arial" w:eastAsia="SimSun" w:hAnsi="Arial" w:cs="Arial"/>
                <w:bCs/>
                <w:iCs/>
                <w:sz w:val="20"/>
                <w:lang w:eastAsia="zh-CN"/>
              </w:rPr>
              <w:t>The indication of supported switching band combinations of the UE capability can also imply the capabilities of the fallbacks in accordance with the current 38.331 fallback framework.</w:t>
            </w:r>
          </w:p>
          <w:p w14:paraId="498155C7" w14:textId="5EE50BEE" w:rsidR="00FE0128" w:rsidRPr="00FE0128" w:rsidRDefault="00FE0128" w:rsidP="00FE0128">
            <w:pPr>
              <w:numPr>
                <w:ilvl w:val="0"/>
                <w:numId w:val="32"/>
              </w:numPr>
              <w:spacing w:afterLines="50" w:after="120"/>
              <w:ind w:left="284" w:hanging="284"/>
              <w:rPr>
                <w:rFonts w:ascii="Arial" w:eastAsia="SimSun" w:hAnsi="Arial" w:cs="Arial"/>
                <w:bCs/>
                <w:iCs/>
                <w:sz w:val="20"/>
                <w:lang w:eastAsia="zh-CN"/>
              </w:rPr>
            </w:pPr>
            <w:r w:rsidRPr="00FE0128">
              <w:rPr>
                <w:rFonts w:ascii="Arial" w:eastAsia="SimSun" w:hAnsi="Arial" w:cs="Arial"/>
                <w:bCs/>
                <w:iCs/>
                <w:sz w:val="20"/>
                <w:lang w:eastAsia="zh-CN"/>
              </w:rPr>
              <w:t xml:space="preserve">Rel-18 Tx switching capability will include all sufficient capabilities for two-band switching. In addition, UE may also declare two-band Tx switching capabilities with Rel-16 and/or Rel-17 capabilities. If UE is configured for two-band Tx switching only and UE declares those Rel-16/17 capabilities, then Rel-16/17 capabilities apply for this two band Tx switching. </w:t>
            </w:r>
          </w:p>
        </w:tc>
      </w:tr>
    </w:tbl>
    <w:p w14:paraId="737682F5" w14:textId="77777777" w:rsidR="00FE0128" w:rsidRDefault="00FE0128" w:rsidP="00B37F97">
      <w:pPr>
        <w:spacing w:afterLines="50" w:after="120"/>
        <w:jc w:val="both"/>
        <w:rPr>
          <w:rFonts w:eastAsiaTheme="minorEastAsia"/>
          <w:sz w:val="22"/>
        </w:rPr>
      </w:pPr>
    </w:p>
    <w:p w14:paraId="3DEE6649" w14:textId="77777777" w:rsidR="00FE0128" w:rsidRDefault="00FE0128" w:rsidP="00B37F97">
      <w:pPr>
        <w:spacing w:afterLines="50" w:after="120"/>
        <w:jc w:val="both"/>
        <w:rPr>
          <w:rFonts w:eastAsiaTheme="minorEastAsia"/>
          <w:sz w:val="22"/>
        </w:rPr>
      </w:pPr>
    </w:p>
    <w:p w14:paraId="188E7C74" w14:textId="7A95C39E" w:rsidR="00B37F97" w:rsidRDefault="00B37F97" w:rsidP="00FA7BF9">
      <w:pPr>
        <w:spacing w:afterLines="50" w:after="120"/>
        <w:jc w:val="both"/>
        <w:rPr>
          <w:rFonts w:eastAsiaTheme="minorEastAsia"/>
          <w:sz w:val="22"/>
        </w:rPr>
      </w:pPr>
    </w:p>
    <w:p w14:paraId="362D9FA4" w14:textId="3C65FD29" w:rsidR="00FE0128" w:rsidRPr="00F00BD7" w:rsidRDefault="00FE0128" w:rsidP="00FE0128">
      <w:pPr>
        <w:pStyle w:val="1"/>
        <w:numPr>
          <w:ilvl w:val="0"/>
          <w:numId w:val="6"/>
        </w:numPr>
        <w:spacing w:after="120"/>
        <w:jc w:val="both"/>
        <w:rPr>
          <w:rFonts w:eastAsia="DengXian"/>
          <w:b/>
          <w:lang w:val="en-US" w:eastAsia="zh-CN"/>
        </w:rPr>
      </w:pPr>
      <w:r>
        <w:rPr>
          <w:rFonts w:eastAsia="DengXian"/>
          <w:b/>
          <w:lang w:val="en-US" w:eastAsia="zh-CN"/>
        </w:rPr>
        <w:t xml:space="preserve">Discussion on RAN2 LS regarding </w:t>
      </w:r>
      <w:r w:rsidR="00664079">
        <w:rPr>
          <w:rFonts w:eastAsia="DengXian"/>
          <w:b/>
          <w:lang w:val="en-US" w:eastAsia="zh-CN"/>
        </w:rPr>
        <w:t>RRC configuration of Tx state</w:t>
      </w:r>
      <w:r>
        <w:rPr>
          <w:rFonts w:eastAsia="DengXian"/>
          <w:b/>
          <w:lang w:val="en-US" w:eastAsia="zh-CN"/>
        </w:rPr>
        <w:t xml:space="preserve"> [2]</w:t>
      </w:r>
    </w:p>
    <w:p w14:paraId="0F5234B1" w14:textId="5D441ED4" w:rsidR="00FE0128" w:rsidRDefault="00FE0128" w:rsidP="00FE0128">
      <w:pPr>
        <w:spacing w:afterLines="50" w:after="120"/>
        <w:jc w:val="both"/>
        <w:rPr>
          <w:rFonts w:eastAsiaTheme="minorEastAsia"/>
          <w:sz w:val="22"/>
        </w:rPr>
      </w:pPr>
      <w:r>
        <w:rPr>
          <w:rFonts w:eastAsiaTheme="minorEastAsia"/>
          <w:sz w:val="22"/>
        </w:rPr>
        <w:t>In [2], RAN2</w:t>
      </w:r>
      <w:r w:rsidR="00664079">
        <w:rPr>
          <w:rFonts w:eastAsiaTheme="minorEastAsia"/>
          <w:sz w:val="22"/>
        </w:rPr>
        <w:t xml:space="preserve"> asked RAN1 to check following RAN2 agreements regarding RRC configuration of Tx state (oneT or twoT) if there is any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64079" w14:paraId="727A6770" w14:textId="77777777" w:rsidTr="00664079">
        <w:tc>
          <w:tcPr>
            <w:tcW w:w="10063" w:type="dxa"/>
            <w:tcBorders>
              <w:top w:val="single" w:sz="4" w:space="0" w:color="auto"/>
              <w:left w:val="single" w:sz="4" w:space="0" w:color="auto"/>
              <w:bottom w:val="single" w:sz="4" w:space="0" w:color="auto"/>
              <w:right w:val="single" w:sz="4" w:space="0" w:color="auto"/>
            </w:tcBorders>
            <w:hideMark/>
          </w:tcPr>
          <w:p w14:paraId="18685B10" w14:textId="77777777" w:rsidR="00664079" w:rsidRDefault="00664079">
            <w:pPr>
              <w:pStyle w:val="Agreement"/>
              <w:numPr>
                <w:ilvl w:val="0"/>
                <w:numId w:val="0"/>
              </w:numPr>
              <w:tabs>
                <w:tab w:val="left" w:pos="840"/>
              </w:tabs>
              <w:rPr>
                <w:sz w:val="21"/>
                <w:u w:val="single"/>
                <w:lang w:val="en-US"/>
              </w:rPr>
            </w:pPr>
            <w:r>
              <w:rPr>
                <w:u w:val="single"/>
              </w:rPr>
              <w:t>RAN2#121</w:t>
            </w:r>
          </w:p>
          <w:p w14:paraId="767A2F2E" w14:textId="77777777" w:rsidR="00664079" w:rsidRDefault="00664079" w:rsidP="00664079">
            <w:pPr>
              <w:pStyle w:val="Agreement"/>
              <w:widowControl w:val="0"/>
              <w:numPr>
                <w:ilvl w:val="0"/>
                <w:numId w:val="35"/>
              </w:numPr>
              <w:tabs>
                <w:tab w:val="left" w:pos="840"/>
              </w:tabs>
              <w:ind w:left="426"/>
              <w:jc w:val="both"/>
            </w:pPr>
            <w: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4870E4A8" w14:textId="77777777" w:rsidR="00664079" w:rsidRDefault="00664079">
            <w:pPr>
              <w:pStyle w:val="Agreement"/>
              <w:numPr>
                <w:ilvl w:val="0"/>
                <w:numId w:val="0"/>
              </w:numPr>
              <w:tabs>
                <w:tab w:val="left" w:pos="840"/>
              </w:tabs>
              <w:rPr>
                <w:u w:val="single"/>
              </w:rPr>
            </w:pPr>
            <w:r>
              <w:rPr>
                <w:u w:val="single"/>
              </w:rPr>
              <w:t>RAN2#121bis-e</w:t>
            </w:r>
          </w:p>
          <w:p w14:paraId="52DC1AFA" w14:textId="77777777" w:rsidR="00664079" w:rsidRDefault="00664079" w:rsidP="00664079">
            <w:pPr>
              <w:pStyle w:val="Agreement"/>
              <w:widowControl w:val="0"/>
              <w:numPr>
                <w:ilvl w:val="0"/>
                <w:numId w:val="35"/>
              </w:numPr>
              <w:tabs>
                <w:tab w:val="left" w:pos="840"/>
              </w:tabs>
              <w:ind w:left="426"/>
              <w:jc w:val="both"/>
            </w:pPr>
            <w:r>
              <w:t xml:space="preserve">P2: RAN2 reuse </w:t>
            </w:r>
            <w:r>
              <w:rPr>
                <w:i/>
                <w:iCs/>
              </w:rPr>
              <w:t>uplinkTxSwitching-DualUL-TxState-r17</w:t>
            </w:r>
            <w:r>
              <w:t xml:space="preserve"> to indicate the state of Tx chains for dualUL mode.</w:t>
            </w:r>
          </w:p>
          <w:p w14:paraId="6AAE23C7" w14:textId="77777777" w:rsidR="00664079" w:rsidRDefault="00664079" w:rsidP="00664079">
            <w:pPr>
              <w:rPr>
                <w:lang w:eastAsia="en-GB"/>
              </w:rPr>
            </w:pPr>
          </w:p>
          <w:p w14:paraId="4C7970C0" w14:textId="77777777" w:rsidR="00664079" w:rsidRPr="00664079" w:rsidRDefault="00664079" w:rsidP="00664079">
            <w:pPr>
              <w:widowControl w:val="0"/>
              <w:tabs>
                <w:tab w:val="left" w:pos="840"/>
                <w:tab w:val="num" w:pos="1619"/>
              </w:tabs>
              <w:spacing w:before="60"/>
              <w:ind w:left="426" w:hanging="360"/>
              <w:jc w:val="both"/>
              <w:rPr>
                <w:rFonts w:ascii="Arial" w:eastAsia="ＭＳ 明朝" w:hAnsi="Arial"/>
                <w:b/>
                <w:kern w:val="2"/>
                <w:sz w:val="21"/>
                <w:szCs w:val="24"/>
                <w:lang w:val="en-US"/>
              </w:rPr>
            </w:pPr>
            <w:r w:rsidRPr="00664079">
              <w:rPr>
                <w:rFonts w:ascii="Arial" w:eastAsia="ＭＳ 明朝" w:hAnsi="Arial"/>
                <w:b/>
                <w:kern w:val="2"/>
                <w:sz w:val="21"/>
                <w:szCs w:val="24"/>
                <w:lang w:val="en-US"/>
              </w:rPr>
              <w:t xml:space="preserve">P3-2: Baseline R2 “understanding” </w:t>
            </w:r>
          </w:p>
          <w:p w14:paraId="69E765B1" w14:textId="77777777" w:rsidR="00664079" w:rsidRPr="00664079" w:rsidRDefault="00664079" w:rsidP="00664079">
            <w:pPr>
              <w:widowControl w:val="0"/>
              <w:tabs>
                <w:tab w:val="left" w:pos="840"/>
              </w:tabs>
              <w:spacing w:before="60"/>
              <w:ind w:left="426"/>
              <w:jc w:val="both"/>
              <w:rPr>
                <w:rFonts w:ascii="Arial" w:eastAsia="ＭＳ 明朝" w:hAnsi="Arial"/>
                <w:b/>
                <w:kern w:val="2"/>
                <w:sz w:val="21"/>
                <w:szCs w:val="24"/>
                <w:lang w:val="en-US"/>
              </w:rPr>
            </w:pPr>
            <w:r w:rsidRPr="00664079">
              <w:rPr>
                <w:rFonts w:ascii="Arial" w:eastAsia="ＭＳ 明朝" w:hAnsi="Arial"/>
                <w:b/>
                <w:kern w:val="2"/>
                <w:sz w:val="21"/>
                <w:szCs w:val="24"/>
                <w:lang w:val="en-US"/>
              </w:rPr>
              <w:t>When the UE is indicated to switch from two bands to one different band (e.g. A+B =&gt; C), follow below logic when determine the switched Tx:</w:t>
            </w:r>
          </w:p>
          <w:p w14:paraId="6D351F60" w14:textId="77777777" w:rsidR="00664079" w:rsidRPr="00664079" w:rsidRDefault="00664079" w:rsidP="00664079">
            <w:pPr>
              <w:widowControl w:val="0"/>
              <w:tabs>
                <w:tab w:val="left" w:pos="840"/>
              </w:tabs>
              <w:spacing w:before="60"/>
              <w:ind w:left="426"/>
              <w:jc w:val="both"/>
              <w:rPr>
                <w:rFonts w:ascii="Arial" w:eastAsia="ＭＳ 明朝" w:hAnsi="Arial"/>
                <w:b/>
                <w:kern w:val="2"/>
                <w:sz w:val="21"/>
                <w:szCs w:val="24"/>
                <w:lang w:val="en-US"/>
              </w:rPr>
            </w:pPr>
            <w:r w:rsidRPr="00664079">
              <w:rPr>
                <w:rFonts w:ascii="Arial" w:eastAsia="ＭＳ 明朝" w:hAnsi="Arial"/>
                <w:b/>
                <w:kern w:val="2"/>
                <w:sz w:val="21"/>
                <w:szCs w:val="24"/>
                <w:lang w:val="en-US" w:eastAsia="zh-CN"/>
              </w:rPr>
              <w:t>- If network indicates 1port transmission on band C,</w:t>
            </w:r>
          </w:p>
          <w:p w14:paraId="2A018B2E" w14:textId="77777777" w:rsidR="00664079" w:rsidRPr="00664079" w:rsidRDefault="00664079" w:rsidP="00664079">
            <w:pPr>
              <w:widowControl w:val="0"/>
              <w:tabs>
                <w:tab w:val="left" w:pos="840"/>
              </w:tabs>
              <w:spacing w:before="60"/>
              <w:ind w:left="426"/>
              <w:jc w:val="both"/>
              <w:rPr>
                <w:rFonts w:ascii="Arial" w:eastAsia="ＭＳ 明朝" w:hAnsi="Arial"/>
                <w:b/>
                <w:kern w:val="2"/>
                <w:sz w:val="21"/>
                <w:szCs w:val="24"/>
                <w:lang w:val="en-US"/>
              </w:rPr>
            </w:pPr>
            <w:r w:rsidRPr="00664079">
              <w:rPr>
                <w:rFonts w:ascii="Arial" w:eastAsia="ＭＳ 明朝" w:hAnsi="Arial"/>
                <w:b/>
                <w:kern w:val="2"/>
                <w:sz w:val="21"/>
                <w:szCs w:val="24"/>
                <w:lang w:val="en-US"/>
              </w:rPr>
              <w:t xml:space="preserve">and </w:t>
            </w:r>
            <w:r w:rsidRPr="00664079">
              <w:rPr>
                <w:rFonts w:ascii="Arial" w:eastAsia="ＭＳ 明朝" w:hAnsi="Arial"/>
                <w:b/>
                <w:i/>
                <w:kern w:val="2"/>
                <w:sz w:val="21"/>
                <w:szCs w:val="24"/>
                <w:lang w:val="en-US"/>
              </w:rPr>
              <w:t>uplinkTxSwitching-DualUL-TxState</w:t>
            </w:r>
            <w:r w:rsidRPr="00664079">
              <w:rPr>
                <w:rFonts w:ascii="Arial" w:eastAsia="ＭＳ 明朝" w:hAnsi="Arial"/>
                <w:b/>
                <w:kern w:val="2"/>
                <w:sz w:val="21"/>
                <w:szCs w:val="24"/>
                <w:lang w:val="en-US"/>
              </w:rPr>
              <w:t xml:space="preserve"> is set to </w:t>
            </w:r>
            <w:r w:rsidRPr="00664079">
              <w:rPr>
                <w:rFonts w:ascii="Arial" w:eastAsia="ＭＳ 明朝" w:hAnsi="Arial"/>
                <w:b/>
                <w:i/>
                <w:kern w:val="2"/>
                <w:sz w:val="21"/>
                <w:szCs w:val="24"/>
                <w:lang w:val="en-US"/>
              </w:rPr>
              <w:t>oneT</w:t>
            </w:r>
            <w:r w:rsidRPr="00664079">
              <w:rPr>
                <w:rFonts w:ascii="Arial" w:eastAsia="ＭＳ 明朝" w:hAnsi="Arial"/>
                <w:b/>
                <w:kern w:val="2"/>
                <w:sz w:val="21"/>
                <w:szCs w:val="24"/>
                <w:lang w:val="en-US"/>
              </w:rPr>
              <w:t>, and the associated band is configured to band C:</w:t>
            </w:r>
          </w:p>
          <w:p w14:paraId="18452D5E" w14:textId="77777777" w:rsidR="00664079" w:rsidRPr="00664079" w:rsidRDefault="00664079" w:rsidP="00664079">
            <w:pPr>
              <w:widowControl w:val="0"/>
              <w:tabs>
                <w:tab w:val="left" w:pos="840"/>
              </w:tabs>
              <w:spacing w:before="60"/>
              <w:ind w:left="426"/>
              <w:jc w:val="both"/>
              <w:rPr>
                <w:rFonts w:ascii="Arial" w:eastAsia="ＭＳ 明朝" w:hAnsi="Arial"/>
                <w:b/>
                <w:kern w:val="2"/>
                <w:sz w:val="21"/>
                <w:szCs w:val="24"/>
                <w:lang w:val="en-US" w:eastAsia="zh-CN"/>
              </w:rPr>
            </w:pPr>
            <w:r w:rsidRPr="00664079">
              <w:rPr>
                <w:rFonts w:ascii="Arial" w:eastAsia="ＭＳ 明朝" w:hAnsi="Arial"/>
                <w:b/>
                <w:kern w:val="2"/>
                <w:sz w:val="21"/>
                <w:szCs w:val="24"/>
                <w:lang w:val="en-US" w:eastAsia="zh-CN"/>
              </w:rPr>
              <w:t>---- Switch 1Tx chain to band C and switch another Tx chain to associated band;</w:t>
            </w:r>
          </w:p>
          <w:p w14:paraId="30EA37D5" w14:textId="77777777" w:rsidR="00664079" w:rsidRPr="00664079" w:rsidRDefault="00664079" w:rsidP="00664079">
            <w:pPr>
              <w:widowControl w:val="0"/>
              <w:tabs>
                <w:tab w:val="left" w:pos="840"/>
              </w:tabs>
              <w:spacing w:before="60"/>
              <w:ind w:left="426"/>
              <w:jc w:val="both"/>
              <w:rPr>
                <w:rFonts w:ascii="Arial" w:eastAsia="ＭＳ 明朝" w:hAnsi="Arial"/>
                <w:b/>
                <w:kern w:val="2"/>
                <w:sz w:val="21"/>
                <w:szCs w:val="24"/>
                <w:lang w:val="en-US" w:eastAsia="zh-CN"/>
              </w:rPr>
            </w:pPr>
            <w:r w:rsidRPr="00664079">
              <w:rPr>
                <w:rFonts w:ascii="Arial" w:eastAsia="ＭＳ 明朝" w:hAnsi="Arial"/>
                <w:b/>
                <w:kern w:val="2"/>
                <w:sz w:val="21"/>
                <w:szCs w:val="24"/>
                <w:lang w:val="en-US" w:eastAsia="zh-CN"/>
              </w:rPr>
              <w:t xml:space="preserve">- Else if network indicates 1port transmission on band C, but </w:t>
            </w:r>
            <w:r w:rsidRPr="00664079">
              <w:rPr>
                <w:rFonts w:ascii="Arial" w:eastAsia="ＭＳ 明朝" w:hAnsi="Arial"/>
                <w:b/>
                <w:i/>
                <w:kern w:val="2"/>
                <w:sz w:val="21"/>
                <w:szCs w:val="24"/>
                <w:lang w:val="en-US" w:eastAsia="zh-CN"/>
              </w:rPr>
              <w:t>uplinkTxSwitching-DualUL-TxState</w:t>
            </w:r>
            <w:r w:rsidRPr="00664079">
              <w:rPr>
                <w:rFonts w:ascii="Arial" w:eastAsia="ＭＳ 明朝" w:hAnsi="Arial"/>
                <w:b/>
                <w:kern w:val="2"/>
                <w:sz w:val="21"/>
                <w:szCs w:val="24"/>
                <w:lang w:val="en-US" w:eastAsia="zh-CN"/>
              </w:rPr>
              <w:t xml:space="preserve"> is not configured or is set to </w:t>
            </w:r>
            <w:r w:rsidRPr="00664079">
              <w:rPr>
                <w:rFonts w:ascii="Arial" w:eastAsia="ＭＳ 明朝" w:hAnsi="Arial"/>
                <w:b/>
                <w:i/>
                <w:kern w:val="2"/>
                <w:sz w:val="21"/>
                <w:szCs w:val="24"/>
                <w:lang w:val="en-US" w:eastAsia="zh-CN"/>
              </w:rPr>
              <w:t>twoT</w:t>
            </w:r>
            <w:r w:rsidRPr="00664079">
              <w:rPr>
                <w:rFonts w:ascii="Arial" w:eastAsia="ＭＳ 明朝" w:hAnsi="Arial"/>
                <w:b/>
                <w:kern w:val="2"/>
                <w:sz w:val="21"/>
                <w:szCs w:val="24"/>
                <w:lang w:val="en-US" w:eastAsia="zh-CN"/>
              </w:rPr>
              <w:t>, or associated band is not configured to band C:</w:t>
            </w:r>
          </w:p>
          <w:p w14:paraId="2E00DF11" w14:textId="246CA133" w:rsidR="00664079" w:rsidRPr="00664079" w:rsidRDefault="00664079" w:rsidP="00664079">
            <w:pPr>
              <w:widowControl w:val="0"/>
              <w:tabs>
                <w:tab w:val="left" w:pos="840"/>
              </w:tabs>
              <w:spacing w:before="60"/>
              <w:ind w:left="426"/>
              <w:jc w:val="both"/>
              <w:rPr>
                <w:lang w:eastAsia="en-GB"/>
              </w:rPr>
            </w:pPr>
            <w:r w:rsidRPr="00664079">
              <w:rPr>
                <w:rFonts w:ascii="Arial" w:eastAsia="ＭＳ 明朝" w:hAnsi="Arial"/>
                <w:b/>
                <w:kern w:val="2"/>
                <w:sz w:val="21"/>
                <w:szCs w:val="24"/>
                <w:lang w:val="en-US" w:eastAsia="zh-CN"/>
              </w:rPr>
              <w:lastRenderedPageBreak/>
              <w:t>---- Switching 2Tx chains to band C.</w:t>
            </w:r>
          </w:p>
        </w:tc>
      </w:tr>
    </w:tbl>
    <w:p w14:paraId="195F81DC" w14:textId="77777777" w:rsidR="00664079" w:rsidRPr="00664079" w:rsidRDefault="00664079" w:rsidP="00FE0128">
      <w:pPr>
        <w:spacing w:afterLines="50" w:after="120"/>
        <w:jc w:val="both"/>
        <w:rPr>
          <w:rFonts w:eastAsiaTheme="minorEastAsia"/>
          <w:sz w:val="22"/>
        </w:rPr>
      </w:pPr>
    </w:p>
    <w:p w14:paraId="5E7E8127" w14:textId="4EE0F2E5" w:rsidR="00FE0128" w:rsidRDefault="00664079" w:rsidP="00FA7BF9">
      <w:pPr>
        <w:spacing w:afterLines="50" w:after="120"/>
        <w:jc w:val="both"/>
        <w:rPr>
          <w:rFonts w:eastAsiaTheme="minorEastAsia"/>
          <w:sz w:val="22"/>
        </w:rPr>
      </w:pPr>
      <w:r>
        <w:rPr>
          <w:rFonts w:eastAsiaTheme="minorEastAsia"/>
          <w:sz w:val="22"/>
        </w:rPr>
        <w:t xml:space="preserve">Above is based on the </w:t>
      </w:r>
      <w:r>
        <w:rPr>
          <w:rFonts w:eastAsiaTheme="minorEastAsia" w:hint="eastAsia"/>
          <w:sz w:val="22"/>
        </w:rPr>
        <w:t>R</w:t>
      </w:r>
      <w:r>
        <w:rPr>
          <w:rFonts w:eastAsiaTheme="minorEastAsia"/>
          <w:sz w:val="22"/>
        </w:rPr>
        <w:t xml:space="preserve">AN1 agreement that </w:t>
      </w:r>
      <w:r w:rsidRPr="00664079">
        <w:rPr>
          <w:rFonts w:eastAsiaTheme="minorEastAsia"/>
          <w:sz w:val="22"/>
        </w:rPr>
        <w:t xml:space="preserve">existing RRC parameter {oneT, twoT} via uplinkTxSwitching-DualUL-TxState </w:t>
      </w:r>
      <w:r>
        <w:rPr>
          <w:rFonts w:eastAsiaTheme="minorEastAsia"/>
          <w:sz w:val="22"/>
        </w:rPr>
        <w:t xml:space="preserve">is reused </w:t>
      </w:r>
      <w:r w:rsidRPr="00664079">
        <w:rPr>
          <w:rFonts w:eastAsiaTheme="minorEastAsia"/>
          <w:sz w:val="22"/>
        </w:rPr>
        <w:t>to solve the issue on ambiguous switching state</w:t>
      </w:r>
      <w:r>
        <w:rPr>
          <w:rFonts w:eastAsiaTheme="minorEastAsia"/>
          <w:sz w:val="22"/>
        </w:rPr>
        <w:t xml:space="preserve">, and when switching is from A+B to 1 port on C and oneT is indicated, UE determines the associated band for another Tx chain based on new RRC parameter. What RAN2 additionally agreed is that if switching is from A+B to 1 port on C but the network does not configure </w:t>
      </w:r>
      <w:r w:rsidRPr="00664079">
        <w:rPr>
          <w:rFonts w:eastAsiaTheme="minorEastAsia"/>
          <w:sz w:val="22"/>
        </w:rPr>
        <w:t>uplinkTxSwitching-DualUL-TxState</w:t>
      </w:r>
      <w:r>
        <w:rPr>
          <w:rFonts w:eastAsiaTheme="minorEastAsia"/>
          <w:sz w:val="22"/>
        </w:rPr>
        <w:t xml:space="preserve"> or associated band for band C, both Tx chains switch to band C as in the case that twoT is configured. There should be no problem as it is quite straightforward and simplest behaviour as switching both Tx chains to same band is the same behaviour as in switched UL case.</w:t>
      </w:r>
    </w:p>
    <w:p w14:paraId="0458C3B3" w14:textId="11C25986" w:rsidR="00664079" w:rsidRDefault="00664079" w:rsidP="00664079">
      <w:pPr>
        <w:spacing w:afterLines="50" w:after="120"/>
        <w:jc w:val="both"/>
        <w:rPr>
          <w:rFonts w:eastAsia="ＭＳ 明朝"/>
          <w:b/>
          <w:bCs/>
          <w:sz w:val="22"/>
          <w:szCs w:val="22"/>
          <w:lang w:val="en-US"/>
        </w:rPr>
      </w:pPr>
      <w:r>
        <w:rPr>
          <w:rFonts w:eastAsia="ＭＳ 明朝"/>
          <w:b/>
          <w:bCs/>
          <w:sz w:val="22"/>
          <w:szCs w:val="22"/>
          <w:lang w:val="en-US"/>
        </w:rPr>
        <w:t>Observation 1: Following RAN2 agreement has no issue from RAN1 perspective, and hence no reply to R1-2304327 is necessary.</w:t>
      </w:r>
    </w:p>
    <w:p w14:paraId="0A11264E" w14:textId="591A3AD8" w:rsidR="00664079" w:rsidRDefault="00664079" w:rsidP="00FA7BF9">
      <w:pPr>
        <w:spacing w:afterLines="50" w:after="120"/>
        <w:jc w:val="both"/>
        <w:rPr>
          <w:rFonts w:eastAsiaTheme="minorEastAsia"/>
          <w:sz w:val="22"/>
          <w:lang w:val="en-US"/>
        </w:rPr>
      </w:pPr>
    </w:p>
    <w:p w14:paraId="5E504609" w14:textId="77777777" w:rsidR="00664079" w:rsidRDefault="00664079" w:rsidP="00FA7BF9">
      <w:pPr>
        <w:spacing w:afterLines="50" w:after="120"/>
        <w:jc w:val="both"/>
        <w:rPr>
          <w:rFonts w:eastAsiaTheme="minorEastAsia"/>
          <w:sz w:val="22"/>
          <w:lang w:val="en-US"/>
        </w:rPr>
      </w:pPr>
    </w:p>
    <w:p w14:paraId="34186790" w14:textId="2749BC62" w:rsidR="00664079" w:rsidRDefault="00664079" w:rsidP="00FA7BF9">
      <w:pPr>
        <w:spacing w:afterLines="50" w:after="120"/>
        <w:jc w:val="both"/>
        <w:rPr>
          <w:rFonts w:eastAsiaTheme="minorEastAsia"/>
          <w:sz w:val="22"/>
          <w:lang w:val="en-US"/>
        </w:rPr>
      </w:pPr>
    </w:p>
    <w:p w14:paraId="119C017C" w14:textId="24EDAC68" w:rsidR="00664079" w:rsidRPr="00F00BD7" w:rsidRDefault="00664079" w:rsidP="00664079">
      <w:pPr>
        <w:pStyle w:val="1"/>
        <w:numPr>
          <w:ilvl w:val="0"/>
          <w:numId w:val="6"/>
        </w:numPr>
        <w:spacing w:after="120"/>
        <w:jc w:val="both"/>
        <w:rPr>
          <w:rFonts w:eastAsia="DengXian"/>
          <w:b/>
          <w:lang w:val="en-US" w:eastAsia="zh-CN"/>
        </w:rPr>
      </w:pPr>
      <w:r>
        <w:rPr>
          <w:rFonts w:eastAsia="DengXian"/>
          <w:b/>
          <w:lang w:val="en-US" w:eastAsia="zh-CN"/>
        </w:rPr>
        <w:t>Discussion on RAN2 LS regarding report of switching periods [3]</w:t>
      </w:r>
    </w:p>
    <w:p w14:paraId="28F1A380" w14:textId="2C73FBF1" w:rsidR="00664079" w:rsidRDefault="00664079" w:rsidP="00664079">
      <w:pPr>
        <w:spacing w:afterLines="50" w:after="120"/>
        <w:jc w:val="both"/>
        <w:rPr>
          <w:rFonts w:eastAsiaTheme="minorEastAsia"/>
          <w:sz w:val="22"/>
        </w:rPr>
      </w:pPr>
      <w:r>
        <w:rPr>
          <w:rFonts w:eastAsiaTheme="minorEastAsia"/>
          <w:sz w:val="22"/>
        </w:rPr>
        <w:t>In [3], RAN2 provided following questions to RAN1/4 regarding the report of switching periods.</w:t>
      </w:r>
    </w:p>
    <w:tbl>
      <w:tblPr>
        <w:tblStyle w:val="afc"/>
        <w:tblW w:w="0" w:type="auto"/>
        <w:tblLook w:val="04A0" w:firstRow="1" w:lastRow="0" w:firstColumn="1" w:lastColumn="0" w:noHBand="0" w:noVBand="1"/>
      </w:tblPr>
      <w:tblGrid>
        <w:gridCol w:w="9962"/>
      </w:tblGrid>
      <w:tr w:rsidR="00664079" w14:paraId="5A29EAAE" w14:textId="77777777" w:rsidTr="00664079">
        <w:tc>
          <w:tcPr>
            <w:tcW w:w="9962" w:type="dxa"/>
          </w:tcPr>
          <w:p w14:paraId="2B468EA8" w14:textId="77777777" w:rsidR="00664079" w:rsidRPr="00664079" w:rsidRDefault="00664079" w:rsidP="00664079">
            <w:pPr>
              <w:widowControl w:val="0"/>
              <w:jc w:val="both"/>
              <w:rPr>
                <w:rFonts w:ascii="Calibri" w:eastAsia="游明朝" w:hAnsi="Calibri"/>
                <w:kern w:val="2"/>
                <w:sz w:val="21"/>
                <w:szCs w:val="22"/>
                <w:lang w:val="en-US"/>
              </w:rPr>
            </w:pPr>
            <w:r w:rsidRPr="00664079">
              <w:rPr>
                <w:rFonts w:ascii="Calibri" w:eastAsia="游明朝" w:hAnsi="Calibri"/>
                <w:kern w:val="2"/>
                <w:sz w:val="21"/>
                <w:szCs w:val="22"/>
                <w:lang w:val="en-US"/>
              </w:rPr>
              <w:t>RAN2 could not achieve conclusion, but has agreed an intention below in RAN2#121bis-e:</w:t>
            </w:r>
          </w:p>
          <w:tbl>
            <w:tblPr>
              <w:tblStyle w:val="afc"/>
              <w:tblW w:w="0" w:type="auto"/>
              <w:tblLook w:val="04A0" w:firstRow="1" w:lastRow="0" w:firstColumn="1" w:lastColumn="0" w:noHBand="0" w:noVBand="1"/>
            </w:tblPr>
            <w:tblGrid>
              <w:gridCol w:w="9736"/>
            </w:tblGrid>
            <w:tr w:rsidR="00664079" w:rsidRPr="00664079" w14:paraId="1BE23971" w14:textId="77777777" w:rsidTr="00664079">
              <w:tc>
                <w:tcPr>
                  <w:tcW w:w="9855" w:type="dxa"/>
                  <w:tcBorders>
                    <w:top w:val="single" w:sz="4" w:space="0" w:color="auto"/>
                    <w:left w:val="single" w:sz="4" w:space="0" w:color="auto"/>
                    <w:bottom w:val="single" w:sz="4" w:space="0" w:color="auto"/>
                    <w:right w:val="single" w:sz="4" w:space="0" w:color="auto"/>
                  </w:tcBorders>
                  <w:hideMark/>
                </w:tcPr>
                <w:p w14:paraId="4CDB809F" w14:textId="77777777" w:rsidR="00664079" w:rsidRPr="00664079" w:rsidRDefault="00664079" w:rsidP="00664079">
                  <w:pPr>
                    <w:widowControl w:val="0"/>
                    <w:tabs>
                      <w:tab w:val="num" w:pos="1305"/>
                      <w:tab w:val="num" w:pos="1619"/>
                    </w:tabs>
                    <w:spacing w:before="60"/>
                    <w:ind w:left="313" w:hanging="360"/>
                    <w:jc w:val="both"/>
                    <w:rPr>
                      <w:rFonts w:ascii="Arial" w:eastAsia="ＭＳ 明朝" w:hAnsi="Arial"/>
                      <w:b/>
                      <w:kern w:val="2"/>
                      <w:sz w:val="21"/>
                      <w:szCs w:val="24"/>
                      <w:lang w:val="en-US"/>
                    </w:rPr>
                  </w:pPr>
                  <w:r w:rsidRPr="00664079">
                    <w:rPr>
                      <w:rFonts w:ascii="Arial" w:eastAsia="ＭＳ 明朝" w:hAnsi="Arial"/>
                      <w:b/>
                      <w:kern w:val="2"/>
                      <w:sz w:val="21"/>
                      <w:szCs w:val="24"/>
                      <w:lang w:val="en-US"/>
                    </w:rPr>
                    <w:t xml:space="preserve">In support of RAN4 agreement, RAN2 intend to introduce support for two per-band-pair UE capabilities, a length of a switching period, for 1Tx-2Tx switching (like Rel-16) and that for 2Tx-2Tx switching (like Rel-17). </w:t>
                  </w:r>
                </w:p>
              </w:tc>
            </w:tr>
          </w:tbl>
          <w:p w14:paraId="50C26A2F" w14:textId="77777777" w:rsidR="00664079" w:rsidRPr="00664079" w:rsidRDefault="00664079" w:rsidP="00664079">
            <w:pPr>
              <w:widowControl w:val="0"/>
              <w:jc w:val="both"/>
              <w:rPr>
                <w:rFonts w:ascii="Calibri" w:eastAsia="游明朝" w:hAnsi="Calibri"/>
                <w:kern w:val="2"/>
                <w:sz w:val="21"/>
                <w:szCs w:val="22"/>
                <w:lang w:val="en-US"/>
              </w:rPr>
            </w:pPr>
          </w:p>
          <w:p w14:paraId="4D706783"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Question 1. (To RAN1 and RAN4)</w:t>
            </w:r>
          </w:p>
          <w:p w14:paraId="6C3FEFA5"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 xml:space="preserve">RAN2 respectfully asks RAN1 and RAN4 to take above agreement on RAN2 intention into account </w:t>
            </w:r>
            <w:bookmarkStart w:id="7" w:name="_Hlk133515174"/>
            <w:r w:rsidRPr="00664079">
              <w:rPr>
                <w:rFonts w:ascii="Calibri" w:eastAsia="游明朝" w:hAnsi="Calibri"/>
                <w:b/>
                <w:bCs/>
                <w:kern w:val="2"/>
                <w:sz w:val="21"/>
                <w:szCs w:val="22"/>
                <w:lang w:val="en-US"/>
              </w:rPr>
              <w:t>and asks for feedback if there is any issue.</w:t>
            </w:r>
            <w:bookmarkEnd w:id="7"/>
          </w:p>
          <w:p w14:paraId="6BD96BB9" w14:textId="77777777" w:rsidR="00664079" w:rsidRPr="00664079" w:rsidRDefault="00664079" w:rsidP="00664079">
            <w:pPr>
              <w:widowControl w:val="0"/>
              <w:jc w:val="both"/>
              <w:rPr>
                <w:rFonts w:ascii="Calibri" w:eastAsia="游明朝" w:hAnsi="Calibri"/>
                <w:kern w:val="2"/>
                <w:sz w:val="21"/>
                <w:szCs w:val="22"/>
                <w:lang w:val="en-US"/>
              </w:rPr>
            </w:pPr>
          </w:p>
          <w:p w14:paraId="0F068FDF" w14:textId="77777777" w:rsidR="00664079" w:rsidRPr="00664079" w:rsidRDefault="00664079" w:rsidP="00664079">
            <w:pPr>
              <w:widowControl w:val="0"/>
              <w:jc w:val="both"/>
              <w:rPr>
                <w:rFonts w:ascii="Calibri" w:eastAsia="游明朝" w:hAnsi="Calibri"/>
                <w:kern w:val="2"/>
                <w:sz w:val="21"/>
                <w:szCs w:val="22"/>
                <w:lang w:val="en-US"/>
              </w:rPr>
            </w:pPr>
            <w:r w:rsidRPr="00664079">
              <w:rPr>
                <w:rFonts w:ascii="Calibri" w:eastAsia="游明朝" w:hAnsi="Calibri"/>
                <w:kern w:val="2"/>
                <w:sz w:val="21"/>
                <w:szCs w:val="22"/>
                <w:lang w:val="en-US"/>
              </w:rPr>
              <w:t>RAN2 could not conclude whether the UE needs to explicitly report if it supports 2Tx-2Tx switching for every band pair used for Rel-18 UL Tx switching.</w:t>
            </w:r>
          </w:p>
          <w:p w14:paraId="09CA14A3" w14:textId="77777777" w:rsidR="00664079" w:rsidRPr="00664079" w:rsidRDefault="00664079" w:rsidP="00664079">
            <w:pPr>
              <w:widowControl w:val="0"/>
              <w:jc w:val="both"/>
              <w:rPr>
                <w:rFonts w:ascii="Calibri" w:eastAsia="游明朝" w:hAnsi="Calibri"/>
                <w:kern w:val="2"/>
                <w:sz w:val="21"/>
                <w:szCs w:val="22"/>
                <w:lang w:val="en-US"/>
              </w:rPr>
            </w:pPr>
            <w:r w:rsidRPr="00664079">
              <w:rPr>
                <w:rFonts w:ascii="Calibri" w:eastAsia="游明朝" w:hAnsi="Calibri"/>
                <w:kern w:val="2"/>
                <w:sz w:val="21"/>
                <w:szCs w:val="22"/>
                <w:lang w:val="en-US"/>
              </w:rPr>
              <w:t>RAN2 is not sure which is the correct understanding:</w:t>
            </w:r>
          </w:p>
          <w:p w14:paraId="288674A7" w14:textId="77777777" w:rsidR="00664079" w:rsidRPr="00664079" w:rsidRDefault="00664079" w:rsidP="00664079">
            <w:pPr>
              <w:widowControl w:val="0"/>
              <w:numPr>
                <w:ilvl w:val="0"/>
                <w:numId w:val="36"/>
              </w:numPr>
              <w:jc w:val="both"/>
              <w:rPr>
                <w:rFonts w:ascii="Calibri" w:eastAsia="游明朝" w:hAnsi="Calibri"/>
                <w:kern w:val="2"/>
                <w:sz w:val="21"/>
                <w:szCs w:val="22"/>
                <w:lang w:val="en-US"/>
              </w:rPr>
            </w:pPr>
            <w:r w:rsidRPr="00664079">
              <w:rPr>
                <w:rFonts w:ascii="Calibri" w:eastAsia="游明朝" w:hAnsi="Calibri"/>
                <w:kern w:val="2"/>
                <w:sz w:val="21"/>
                <w:szCs w:val="22"/>
                <w:lang w:val="en-US"/>
              </w:rPr>
              <w:t>The UE always supports 2Tx-2Tx switching on a pair of bands if the UE supports 2 layers/ports UL MIMO on the two bands</w:t>
            </w:r>
          </w:p>
          <w:p w14:paraId="4935F06D" w14:textId="77777777" w:rsidR="00664079" w:rsidRPr="00664079" w:rsidRDefault="00664079" w:rsidP="00664079">
            <w:pPr>
              <w:widowControl w:val="0"/>
              <w:numPr>
                <w:ilvl w:val="0"/>
                <w:numId w:val="36"/>
              </w:numPr>
              <w:jc w:val="both"/>
              <w:rPr>
                <w:rFonts w:ascii="Calibri" w:eastAsia="游明朝" w:hAnsi="Calibri"/>
                <w:kern w:val="2"/>
                <w:sz w:val="21"/>
                <w:szCs w:val="22"/>
                <w:lang w:val="en-US"/>
              </w:rPr>
            </w:pPr>
            <w:r w:rsidRPr="00664079">
              <w:rPr>
                <w:rFonts w:ascii="Calibri" w:eastAsia="游明朝" w:hAnsi="Calibri"/>
                <w:kern w:val="2"/>
                <w:sz w:val="21"/>
                <w:szCs w:val="22"/>
                <w:lang w:val="en-US"/>
              </w:rPr>
              <w:t>The UE may not support 2Tx-2Tx switching on a pair of bands even if the UE supports 2 layers/ports UL MIMO on the two bands (i.e., per-band-pair UE capability to report whether to support 2Tx-2Tx switching is needed, e.g. based on the presence/absence of 2Tx-2Tx switching period).</w:t>
            </w:r>
          </w:p>
          <w:p w14:paraId="3555638F"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Question 2. (To RAN4)</w:t>
            </w:r>
          </w:p>
          <w:p w14:paraId="27D93640"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RAN2 respectfully asks RAN4 to take below RAN2 assumptions into account and asks for feedback if there is any issue:</w:t>
            </w:r>
          </w:p>
          <w:p w14:paraId="5302EBCC" w14:textId="77777777" w:rsidR="00664079" w:rsidRPr="00664079" w:rsidRDefault="00664079" w:rsidP="00664079">
            <w:pPr>
              <w:widowControl w:val="0"/>
              <w:numPr>
                <w:ilvl w:val="0"/>
                <w:numId w:val="36"/>
              </w:numPr>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For the band pair supporting 2Tx-2Tx switching, the UE always support 1Tx-2Tx switching.</w:t>
            </w:r>
          </w:p>
          <w:p w14:paraId="321CD3F1" w14:textId="77777777" w:rsidR="00664079" w:rsidRPr="00664079" w:rsidRDefault="00664079" w:rsidP="00664079">
            <w:pPr>
              <w:widowControl w:val="0"/>
              <w:numPr>
                <w:ilvl w:val="0"/>
                <w:numId w:val="36"/>
              </w:numPr>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The UE reports whether it supports 2Tx-2Tx switching via per-band-pair UE capability.</w:t>
            </w:r>
          </w:p>
          <w:p w14:paraId="16FB8E6F" w14:textId="77777777" w:rsidR="00664079" w:rsidRPr="00664079" w:rsidRDefault="00664079" w:rsidP="00664079">
            <w:pPr>
              <w:widowControl w:val="0"/>
              <w:jc w:val="both"/>
              <w:rPr>
                <w:rFonts w:ascii="Calibri" w:eastAsia="DengXian" w:hAnsi="Calibri"/>
                <w:kern w:val="2"/>
                <w:sz w:val="21"/>
                <w:szCs w:val="22"/>
                <w:lang w:val="en-US" w:eastAsia="zh-CN"/>
              </w:rPr>
            </w:pPr>
          </w:p>
          <w:p w14:paraId="4B93EF8C" w14:textId="77777777" w:rsidR="00664079" w:rsidRPr="00664079" w:rsidRDefault="00664079" w:rsidP="00664079">
            <w:pPr>
              <w:widowControl w:val="0"/>
              <w:jc w:val="both"/>
              <w:rPr>
                <w:rFonts w:ascii="Calibri" w:eastAsia="游明朝" w:hAnsi="Calibri"/>
                <w:kern w:val="2"/>
                <w:sz w:val="21"/>
                <w:szCs w:val="22"/>
                <w:lang w:val="en-US"/>
              </w:rPr>
            </w:pPr>
            <w:r w:rsidRPr="00664079">
              <w:rPr>
                <w:rFonts w:ascii="Calibri" w:eastAsia="游明朝" w:hAnsi="Calibri"/>
                <w:kern w:val="2"/>
                <w:sz w:val="21"/>
                <w:szCs w:val="22"/>
                <w:lang w:val="en-US"/>
              </w:rPr>
              <w:t>RAN2 has discussed how the gNB knows which of the reported switching periods (for 1Tx-2Tx switching or for 2Tx-2Tx) should be applied for every switching but could not conclude.</w:t>
            </w:r>
          </w:p>
          <w:p w14:paraId="0559A2AF"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Question 3. (To RAN4)</w:t>
            </w:r>
          </w:p>
          <w:p w14:paraId="5AC2B85D"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RAN2 respectfully asks RAN4 which of the options below matches RAN4 understanding on the selection of applied switching periods when both switching periods of 2Tx-2Tx switching and 1Tx-2Tx switching can be reported for the same band pair.</w:t>
            </w:r>
          </w:p>
          <w:p w14:paraId="7B27A8BD"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3B815C83" w14:textId="4EAA9F45" w:rsid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Option 2: Based on explicit RRC configuration, i.e., gNB configures which period is applied. FFS on the granularity of the configuration.</w:t>
            </w:r>
          </w:p>
          <w:p w14:paraId="6CC6DF2F" w14:textId="77777777" w:rsidR="00664079" w:rsidRPr="00664079" w:rsidRDefault="00664079" w:rsidP="00664079">
            <w:pPr>
              <w:widowControl w:val="0"/>
              <w:jc w:val="both"/>
              <w:rPr>
                <w:rFonts w:ascii="Calibri" w:eastAsia="游明朝" w:hAnsi="Calibri"/>
                <w:b/>
                <w:bCs/>
                <w:kern w:val="2"/>
                <w:sz w:val="21"/>
                <w:szCs w:val="22"/>
                <w:lang w:val="en-US"/>
              </w:rPr>
            </w:pPr>
            <w:r w:rsidRPr="00664079">
              <w:rPr>
                <w:rFonts w:ascii="Calibri" w:eastAsia="游明朝" w:hAnsi="Calibri"/>
                <w:b/>
                <w:bCs/>
                <w:kern w:val="2"/>
                <w:sz w:val="21"/>
                <w:szCs w:val="22"/>
                <w:lang w:val="en-US"/>
              </w:rPr>
              <w:t>Question 4. (To RAN1)</w:t>
            </w:r>
          </w:p>
          <w:p w14:paraId="6AFBD511" w14:textId="5E1389D5" w:rsidR="00664079" w:rsidRPr="00664079" w:rsidRDefault="00664079" w:rsidP="00664079">
            <w:pPr>
              <w:widowControl w:val="0"/>
              <w:jc w:val="both"/>
              <w:rPr>
                <w:rFonts w:ascii="Calibri" w:eastAsia="游明朝" w:hAnsi="Calibri"/>
                <w:kern w:val="2"/>
                <w:sz w:val="21"/>
                <w:szCs w:val="22"/>
                <w:lang w:val="en-US"/>
              </w:rPr>
            </w:pPr>
            <w:r w:rsidRPr="00664079">
              <w:rPr>
                <w:rFonts w:ascii="Calibri" w:eastAsia="游明朝" w:hAnsi="Calibri"/>
                <w:b/>
                <w:bCs/>
                <w:kern w:val="2"/>
                <w:sz w:val="21"/>
                <w:szCs w:val="22"/>
                <w:lang w:val="en-US"/>
              </w:rPr>
              <w:t>RAN2 respectfully asks RAN1 to take above discussion on RAN2 and question to RAN4 into account and asks for feedback if there is any issue.</w:t>
            </w:r>
          </w:p>
        </w:tc>
      </w:tr>
    </w:tbl>
    <w:p w14:paraId="52CCB080" w14:textId="42F89BB7" w:rsidR="00664079" w:rsidRDefault="00664079" w:rsidP="00FA7BF9">
      <w:pPr>
        <w:spacing w:afterLines="50" w:after="120"/>
        <w:jc w:val="both"/>
        <w:rPr>
          <w:rFonts w:eastAsiaTheme="minorEastAsia"/>
          <w:sz w:val="22"/>
        </w:rPr>
      </w:pPr>
    </w:p>
    <w:p w14:paraId="49BC86BE" w14:textId="1B267A57" w:rsidR="00664079" w:rsidRDefault="00664079" w:rsidP="00FA7BF9">
      <w:pPr>
        <w:spacing w:afterLines="50" w:after="120"/>
        <w:jc w:val="both"/>
        <w:rPr>
          <w:rFonts w:eastAsiaTheme="minorEastAsia"/>
          <w:sz w:val="22"/>
        </w:rPr>
      </w:pPr>
      <w:r>
        <w:rPr>
          <w:rFonts w:eastAsiaTheme="minorEastAsia" w:hint="eastAsia"/>
          <w:sz w:val="22"/>
        </w:rPr>
        <w:t>B</w:t>
      </w:r>
      <w:r>
        <w:rPr>
          <w:rFonts w:eastAsiaTheme="minorEastAsia"/>
          <w:sz w:val="22"/>
        </w:rPr>
        <w:t xml:space="preserve">asically, the switching period report aspects have been discussed in RAN4 while RAN1 hasn’t discussed. In Rel-17, RAN1 asked RAN4 regarding separate </w:t>
      </w:r>
      <w:r w:rsidRPr="00664079">
        <w:rPr>
          <w:rFonts w:eastAsiaTheme="minorEastAsia"/>
          <w:sz w:val="22"/>
        </w:rPr>
        <w:t>reporting of switching period between 1Tx-2Tx switching and 2Tx-2Tx switching</w:t>
      </w:r>
      <w:r>
        <w:rPr>
          <w:rFonts w:eastAsiaTheme="minorEastAsia"/>
          <w:sz w:val="22"/>
        </w:rPr>
        <w:t xml:space="preserve"> as below.</w:t>
      </w:r>
    </w:p>
    <w:tbl>
      <w:tblPr>
        <w:tblStyle w:val="afc"/>
        <w:tblW w:w="0" w:type="auto"/>
        <w:tblLook w:val="04A0" w:firstRow="1" w:lastRow="0" w:firstColumn="1" w:lastColumn="0" w:noHBand="0" w:noVBand="1"/>
      </w:tblPr>
      <w:tblGrid>
        <w:gridCol w:w="9962"/>
      </w:tblGrid>
      <w:tr w:rsidR="00664079" w14:paraId="2678EE87" w14:textId="77777777" w:rsidTr="00664079">
        <w:tc>
          <w:tcPr>
            <w:tcW w:w="9962" w:type="dxa"/>
          </w:tcPr>
          <w:p w14:paraId="283841E3" w14:textId="77777777" w:rsidR="00664079" w:rsidRPr="00664079" w:rsidRDefault="00664079" w:rsidP="00664079">
            <w:pPr>
              <w:widowControl w:val="0"/>
              <w:jc w:val="both"/>
              <w:rPr>
                <w:rFonts w:ascii="游明朝" w:eastAsia="游明朝" w:hAnsi="游明朝"/>
                <w:kern w:val="2"/>
                <w:sz w:val="21"/>
                <w:szCs w:val="22"/>
                <w:highlight w:val="green"/>
                <w:lang w:val="en-US"/>
              </w:rPr>
            </w:pPr>
            <w:r w:rsidRPr="00664079">
              <w:rPr>
                <w:rFonts w:ascii="游明朝" w:eastAsia="游明朝" w:hAnsi="游明朝"/>
                <w:kern w:val="2"/>
                <w:sz w:val="21"/>
                <w:szCs w:val="22"/>
                <w:highlight w:val="green"/>
                <w:lang w:val="en-US"/>
              </w:rPr>
              <w:t>Agreement:</w:t>
            </w:r>
          </w:p>
          <w:p w14:paraId="11446BDF" w14:textId="77777777" w:rsidR="00664079" w:rsidRPr="00664079" w:rsidRDefault="00664079" w:rsidP="00664079">
            <w:pPr>
              <w:widowControl w:val="0"/>
              <w:jc w:val="both"/>
              <w:rPr>
                <w:rFonts w:ascii="游明朝" w:eastAsia="游明朝" w:hAnsi="游明朝"/>
                <w:kern w:val="2"/>
                <w:sz w:val="21"/>
                <w:szCs w:val="22"/>
                <w:lang w:val="en-US" w:eastAsia="zh-CN"/>
              </w:rPr>
            </w:pPr>
            <w:r w:rsidRPr="00664079">
              <w:rPr>
                <w:rFonts w:ascii="游明朝" w:eastAsia="游明朝" w:hAnsi="游明朝"/>
                <w:kern w:val="2"/>
                <w:sz w:val="21"/>
                <w:szCs w:val="22"/>
                <w:lang w:val="en-US" w:eastAsia="zh-CN"/>
              </w:rPr>
              <w:t>Send LS to RAN4 asking following question:</w:t>
            </w:r>
          </w:p>
          <w:p w14:paraId="6D27AF31" w14:textId="6CE5132A" w:rsidR="00664079" w:rsidRPr="00664079" w:rsidRDefault="00664079" w:rsidP="00664079">
            <w:pPr>
              <w:numPr>
                <w:ilvl w:val="0"/>
                <w:numId w:val="37"/>
              </w:numPr>
              <w:contextualSpacing/>
              <w:rPr>
                <w:rFonts w:eastAsia="SimSun"/>
                <w:sz w:val="20"/>
                <w:lang w:val="en-US" w:eastAsia="zh-CN"/>
              </w:rPr>
            </w:pPr>
            <w:r w:rsidRPr="00664079">
              <w:rPr>
                <w:rFonts w:eastAsia="SimSun"/>
                <w:sz w:val="20"/>
                <w:lang w:val="en-US" w:eastAsia="zh-CN"/>
              </w:rPr>
              <w:t>Question: For UL Tx switching in a band pair of a band combination, whether or not the switching time reported by a UE for 2Tx-2Tx switching can be different from that reported by the UE for 1Tx-2Tx switching.</w:t>
            </w:r>
          </w:p>
        </w:tc>
      </w:tr>
    </w:tbl>
    <w:p w14:paraId="567AA3EF" w14:textId="1BBBFC4A" w:rsidR="00664079" w:rsidRDefault="00664079" w:rsidP="00FA7BF9">
      <w:pPr>
        <w:spacing w:afterLines="50" w:after="120"/>
        <w:jc w:val="both"/>
        <w:rPr>
          <w:rFonts w:eastAsiaTheme="minorEastAsia"/>
          <w:sz w:val="22"/>
        </w:rPr>
      </w:pPr>
      <w:r>
        <w:rPr>
          <w:rFonts w:eastAsiaTheme="minorEastAsia"/>
          <w:sz w:val="22"/>
        </w:rPr>
        <w:t>Therefore, at least for Question 1 (i.e., regarding the introduction of separate per-band pair reporting of switching period between 1Tx-2Tx switching and 2Tx-2Tx switching), our preference is to rely on RAN4 for answering RAN2 questions.</w:t>
      </w:r>
    </w:p>
    <w:p w14:paraId="4D3025BF" w14:textId="4E541D67" w:rsidR="00664079" w:rsidRDefault="00664079" w:rsidP="00664079">
      <w:pPr>
        <w:spacing w:afterLines="50" w:after="120"/>
        <w:jc w:val="both"/>
        <w:rPr>
          <w:rFonts w:eastAsia="ＭＳ 明朝"/>
          <w:b/>
          <w:bCs/>
          <w:sz w:val="22"/>
          <w:szCs w:val="22"/>
          <w:lang w:val="en-US"/>
        </w:rPr>
      </w:pPr>
      <w:r>
        <w:rPr>
          <w:rFonts w:eastAsia="ＭＳ 明朝"/>
          <w:b/>
          <w:bCs/>
          <w:sz w:val="22"/>
          <w:szCs w:val="22"/>
          <w:lang w:val="en-US"/>
        </w:rPr>
        <w:t>Proposal 2: RAN1 should rely on RAN4 for answering Question 1 in R1-2304333.</w:t>
      </w:r>
    </w:p>
    <w:p w14:paraId="374B358A" w14:textId="5B51BD95" w:rsidR="00664079" w:rsidRPr="00664079" w:rsidRDefault="00664079" w:rsidP="00FA7BF9">
      <w:pPr>
        <w:spacing w:afterLines="50" w:after="120"/>
        <w:jc w:val="both"/>
        <w:rPr>
          <w:rFonts w:eastAsiaTheme="minorEastAsia"/>
          <w:sz w:val="22"/>
          <w:lang w:val="en-US"/>
        </w:rPr>
      </w:pPr>
    </w:p>
    <w:p w14:paraId="69E2DDC9" w14:textId="6AD5FCCA" w:rsidR="00664079" w:rsidRDefault="00664079" w:rsidP="00FA7BF9">
      <w:pPr>
        <w:spacing w:afterLines="50" w:after="120"/>
        <w:jc w:val="both"/>
        <w:rPr>
          <w:rFonts w:eastAsiaTheme="minorEastAsia"/>
          <w:sz w:val="22"/>
        </w:rPr>
      </w:pPr>
      <w:r>
        <w:rPr>
          <w:rFonts w:eastAsiaTheme="minorEastAsia" w:hint="eastAsia"/>
          <w:sz w:val="22"/>
        </w:rPr>
        <w:t>R</w:t>
      </w:r>
      <w:r>
        <w:rPr>
          <w:rFonts w:eastAsiaTheme="minorEastAsia"/>
          <w:sz w:val="22"/>
        </w:rPr>
        <w:t>egarding the Question 4, RAN2 asked Question 3 to RAN4 while RAN2 also asked Question 4 to RAN1 because in which case the reported switching periods for 1Tx-2Tx switching or 2Tx-2Tx switching are applied was discussed in RAN1 in Rel-17 as below.</w:t>
      </w:r>
    </w:p>
    <w:tbl>
      <w:tblPr>
        <w:tblStyle w:val="afc"/>
        <w:tblW w:w="0" w:type="auto"/>
        <w:tblLook w:val="04A0" w:firstRow="1" w:lastRow="0" w:firstColumn="1" w:lastColumn="0" w:noHBand="0" w:noVBand="1"/>
      </w:tblPr>
      <w:tblGrid>
        <w:gridCol w:w="9962"/>
      </w:tblGrid>
      <w:tr w:rsidR="00664079" w14:paraId="74BC751D" w14:textId="77777777" w:rsidTr="00664079">
        <w:tc>
          <w:tcPr>
            <w:tcW w:w="9962" w:type="dxa"/>
          </w:tcPr>
          <w:p w14:paraId="230845EB" w14:textId="77777777" w:rsidR="00664079" w:rsidRPr="00664079" w:rsidRDefault="00664079" w:rsidP="00664079">
            <w:pPr>
              <w:widowControl w:val="0"/>
              <w:jc w:val="both"/>
              <w:rPr>
                <w:rFonts w:ascii="游明朝" w:eastAsia="Malgun Gothic" w:hAnsi="游明朝"/>
                <w:kern w:val="2"/>
                <w:sz w:val="21"/>
                <w:szCs w:val="22"/>
                <w:lang w:val="en-US" w:eastAsia="ko-KR"/>
              </w:rPr>
            </w:pPr>
            <w:r w:rsidRPr="00664079">
              <w:rPr>
                <w:rFonts w:ascii="游明朝" w:eastAsia="游明朝" w:hAnsi="游明朝" w:cs="Times"/>
                <w:b/>
                <w:bCs/>
                <w:kern w:val="2"/>
                <w:sz w:val="21"/>
                <w:highlight w:val="green"/>
                <w:lang w:val="en-US"/>
              </w:rPr>
              <w:t>Agreement</w:t>
            </w:r>
          </w:p>
          <w:p w14:paraId="0F6F1B9F" w14:textId="77777777" w:rsidR="00664079" w:rsidRPr="00664079" w:rsidRDefault="00664079" w:rsidP="00664079">
            <w:pPr>
              <w:widowControl w:val="0"/>
              <w:jc w:val="both"/>
              <w:rPr>
                <w:rFonts w:ascii="游明朝" w:eastAsia="游明朝" w:hAnsi="游明朝"/>
                <w:kern w:val="2"/>
                <w:sz w:val="21"/>
                <w:szCs w:val="22"/>
                <w:lang w:val="en-US"/>
              </w:rPr>
            </w:pPr>
            <w:r w:rsidRPr="00664079">
              <w:rPr>
                <w:rFonts w:ascii="游明朝" w:eastAsia="游明朝" w:hAnsi="游明朝"/>
                <w:kern w:val="2"/>
                <w:sz w:val="21"/>
                <w:szCs w:val="22"/>
                <w:lang w:val="en-US"/>
              </w:rPr>
              <w:t xml:space="preserve">For a UE capable of 2Tx-2Tx switching and configured with UL Tx switching via </w:t>
            </w:r>
            <w:r w:rsidRPr="00664079">
              <w:rPr>
                <w:rFonts w:ascii="游明朝" w:eastAsia="游明朝" w:hAnsi="游明朝" w:cs="Times"/>
                <w:i/>
                <w:iCs/>
                <w:kern w:val="2"/>
                <w:sz w:val="21"/>
                <w:lang w:val="en-US"/>
              </w:rPr>
              <w:t>uplinkTxSwitching</w:t>
            </w:r>
            <w:r w:rsidRPr="00664079">
              <w:rPr>
                <w:rFonts w:ascii="游明朝" w:eastAsia="游明朝" w:hAnsi="游明朝"/>
                <w:kern w:val="2"/>
                <w:sz w:val="21"/>
                <w:szCs w:val="22"/>
                <w:lang w:val="en-US"/>
              </w:rPr>
              <w:t>, to differentiate the switching delay for 1Tx-2Tx switching from that for 2Tx-2Tx switching, a new RRC parameter is used to indicate 1Tx-2Tx switching mode or 2Tx-2Tx switching mode.</w:t>
            </w:r>
          </w:p>
          <w:p w14:paraId="34834EAC" w14:textId="77777777" w:rsidR="00664079" w:rsidRPr="00664079" w:rsidRDefault="00664079" w:rsidP="00664079">
            <w:pPr>
              <w:numPr>
                <w:ilvl w:val="0"/>
                <w:numId w:val="38"/>
              </w:numPr>
              <w:contextualSpacing/>
              <w:rPr>
                <w:rFonts w:eastAsia="SimSun"/>
                <w:sz w:val="20"/>
              </w:rPr>
            </w:pPr>
            <w:r w:rsidRPr="00664079">
              <w:rPr>
                <w:rFonts w:eastAsia="SimSun"/>
                <w:sz w:val="20"/>
              </w:rPr>
              <w:t xml:space="preserve">If 1Tx-2Tx mode is derived by the new RRC parameter, then there is one uplink (or one uplink band in case of intra-band) configured with </w:t>
            </w:r>
            <w:r w:rsidRPr="00664079">
              <w:rPr>
                <w:rFonts w:ascii="Times" w:eastAsia="SimSun" w:hAnsi="Times" w:cs="Times"/>
                <w:i/>
                <w:iCs/>
                <w:sz w:val="20"/>
              </w:rPr>
              <w:t>uplinkTxSwitching</w:t>
            </w:r>
            <w:r w:rsidRPr="00664079">
              <w:rPr>
                <w:rFonts w:eastAsia="SimSun"/>
                <w:sz w:val="20"/>
              </w:rPr>
              <w:t>, on which the maximum number of antenna ports among all configured P-SRS/A-SRS and activated SP-SRS resources should be 1 and non-codebook based UL MIMO is not configured. RAN1 assume the uplink is configured with RRC parameter “carrier1” by RAN2</w:t>
            </w:r>
            <w:r w:rsidRPr="00664079">
              <w:rPr>
                <w:rFonts w:ascii="Times" w:eastAsia="SimSun" w:hAnsi="Times" w:cs="Times"/>
                <w:i/>
                <w:iCs/>
                <w:sz w:val="20"/>
              </w:rPr>
              <w:t>.</w:t>
            </w:r>
          </w:p>
          <w:p w14:paraId="2C6DE0E5" w14:textId="77777777" w:rsidR="00664079" w:rsidRPr="00664079" w:rsidRDefault="00664079" w:rsidP="00664079">
            <w:pPr>
              <w:numPr>
                <w:ilvl w:val="0"/>
                <w:numId w:val="38"/>
              </w:numPr>
              <w:contextualSpacing/>
              <w:rPr>
                <w:rFonts w:eastAsia="SimSun"/>
                <w:sz w:val="20"/>
              </w:rPr>
            </w:pPr>
            <w:r w:rsidRPr="00664079">
              <w:rPr>
                <w:rFonts w:eastAsia="SimSun"/>
                <w:sz w:val="20"/>
              </w:rPr>
              <w:t>The default value of the new RRC parameter is 1Tx-2Tx switching mode.</w:t>
            </w:r>
          </w:p>
          <w:p w14:paraId="0E5984D1" w14:textId="77777777" w:rsidR="00664079" w:rsidRPr="00664079" w:rsidRDefault="00664079" w:rsidP="00664079">
            <w:pPr>
              <w:numPr>
                <w:ilvl w:val="0"/>
                <w:numId w:val="38"/>
              </w:numPr>
              <w:contextualSpacing/>
              <w:rPr>
                <w:rFonts w:eastAsia="SimSun"/>
                <w:sz w:val="20"/>
              </w:rPr>
            </w:pPr>
            <w:r w:rsidRPr="00664079">
              <w:rPr>
                <w:rFonts w:eastAsia="SimSun"/>
                <w:sz w:val="20"/>
              </w:rPr>
              <w:lastRenderedPageBreak/>
              <w:t>In a configured switching mode, the switching gap duration for a triggered uplink switching is equal to the switching time capability value reported for the switching mode.</w:t>
            </w:r>
          </w:p>
          <w:p w14:paraId="44EA89FC" w14:textId="10CE7C93" w:rsidR="00664079" w:rsidRPr="00664079" w:rsidRDefault="00664079" w:rsidP="00664079">
            <w:pPr>
              <w:numPr>
                <w:ilvl w:val="0"/>
                <w:numId w:val="38"/>
              </w:numPr>
              <w:contextualSpacing/>
              <w:rPr>
                <w:rFonts w:eastAsia="SimSun"/>
                <w:sz w:val="20"/>
              </w:rPr>
            </w:pPr>
            <w:r w:rsidRPr="00664079">
              <w:rPr>
                <w:rFonts w:eastAsia="SimSun"/>
                <w:sz w:val="20"/>
              </w:rPr>
              <w:t>Note: This RRC parameter doesn’t imply any restriction on application of non-codebook transmission together with UL Tx switching.</w:t>
            </w:r>
          </w:p>
        </w:tc>
      </w:tr>
    </w:tbl>
    <w:p w14:paraId="68551EFE" w14:textId="2498DCD3" w:rsidR="00664079" w:rsidRDefault="00664079" w:rsidP="00FA7BF9">
      <w:pPr>
        <w:spacing w:afterLines="50" w:after="120"/>
        <w:jc w:val="both"/>
        <w:rPr>
          <w:rFonts w:eastAsiaTheme="minorEastAsia"/>
          <w:sz w:val="22"/>
        </w:rPr>
      </w:pPr>
      <w:r>
        <w:rPr>
          <w:rFonts w:eastAsiaTheme="minorEastAsia" w:hint="eastAsia"/>
          <w:sz w:val="22"/>
        </w:rPr>
        <w:lastRenderedPageBreak/>
        <w:t>I</w:t>
      </w:r>
      <w:r>
        <w:rPr>
          <w:rFonts w:eastAsiaTheme="minorEastAsia"/>
          <w:sz w:val="22"/>
        </w:rPr>
        <w:t>n addition, it is specified in TS 38.214 that “</w:t>
      </w:r>
      <w:r w:rsidRPr="00664079">
        <w:rPr>
          <w:rFonts w:eastAsiaTheme="minorEastAsia"/>
          <w:sz w:val="22"/>
        </w:rPr>
        <w:t xml:space="preserve">The switching gap </w:t>
      </w:r>
      <m:oMath>
        <m:sSub>
          <m:sSubPr>
            <m:ctrlPr>
              <w:rPr>
                <w:rFonts w:ascii="Cambria Math" w:eastAsiaTheme="minorEastAsia" w:hAnsi="Cambria Math"/>
                <w:bCs/>
                <w:i/>
                <w:sz w:val="22"/>
              </w:rPr>
            </m:ctrlPr>
          </m:sSubPr>
          <m:e>
            <m:r>
              <w:rPr>
                <w:rFonts w:ascii="Cambria Math" w:eastAsiaTheme="minorEastAsia" w:hAnsi="Cambria Math"/>
                <w:sz w:val="22"/>
              </w:rPr>
              <m:t>N</m:t>
            </m:r>
          </m:e>
          <m:sub>
            <m:r>
              <m:rPr>
                <m:nor/>
              </m:rPr>
              <w:rPr>
                <w:rFonts w:eastAsiaTheme="minorEastAsia"/>
                <w:bCs/>
                <w:sz w:val="22"/>
              </w:rPr>
              <m:t>Tx1-Tx2</m:t>
            </m:r>
          </m:sub>
        </m:sSub>
      </m:oMath>
      <w:r w:rsidRPr="00664079">
        <w:rPr>
          <w:rFonts w:eastAsiaTheme="minorEastAsia"/>
          <w:b/>
          <w:sz w:val="22"/>
        </w:rPr>
        <w:t xml:space="preserve"> </w:t>
      </w:r>
      <w:r w:rsidRPr="00664079">
        <w:rPr>
          <w:rFonts w:eastAsiaTheme="minorEastAsia"/>
          <w:sz w:val="22"/>
        </w:rPr>
        <w:t xml:space="preserve">is indicated by UE capability </w:t>
      </w:r>
      <w:r w:rsidRPr="00664079">
        <w:rPr>
          <w:rFonts w:eastAsiaTheme="minorEastAsia"/>
          <w:i/>
          <w:iCs/>
          <w:sz w:val="22"/>
        </w:rPr>
        <w:t>uplinkTxSwitchingPeriod2T2T</w:t>
      </w:r>
      <w:r w:rsidRPr="00664079">
        <w:rPr>
          <w:rFonts w:eastAsiaTheme="minorEastAsia"/>
          <w:sz w:val="22"/>
        </w:rPr>
        <w:t xml:space="preserve"> if </w:t>
      </w:r>
      <w:r w:rsidRPr="00664079">
        <w:rPr>
          <w:rFonts w:eastAsiaTheme="minorEastAsia"/>
          <w:i/>
          <w:iCs/>
          <w:sz w:val="22"/>
        </w:rPr>
        <w:t>uplinkTxSwitching-2T-Mode</w:t>
      </w:r>
      <w:r w:rsidRPr="00664079">
        <w:rPr>
          <w:rFonts w:eastAsiaTheme="minorEastAsia"/>
          <w:sz w:val="22"/>
        </w:rPr>
        <w:t xml:space="preserve"> is configured, and </w:t>
      </w:r>
      <w:r w:rsidRPr="00664079">
        <w:rPr>
          <w:rFonts w:eastAsiaTheme="minorEastAsia"/>
          <w:i/>
          <w:sz w:val="22"/>
        </w:rPr>
        <w:t xml:space="preserve">uplinkTxSwitchingPeriod </w:t>
      </w:r>
      <w:r w:rsidRPr="00664079">
        <w:rPr>
          <w:rFonts w:eastAsiaTheme="minorEastAsia"/>
          <w:iCs/>
          <w:sz w:val="22"/>
        </w:rPr>
        <w:t>otherwise</w:t>
      </w:r>
      <w:r w:rsidRPr="00664079">
        <w:rPr>
          <w:sz w:val="22"/>
          <w:szCs w:val="18"/>
        </w:rPr>
        <w:t>:</w:t>
      </w:r>
      <w:r>
        <w:rPr>
          <w:rFonts w:eastAsiaTheme="minorEastAsia"/>
          <w:sz w:val="22"/>
        </w:rPr>
        <w:t>”. Therefore, the outcome of the discussion such as whether Option 1 or Option 2 is applied may have RAN1 specification impact.</w:t>
      </w:r>
    </w:p>
    <w:p w14:paraId="175C635F" w14:textId="5873BA9C" w:rsidR="00664079" w:rsidRPr="00664079" w:rsidRDefault="00FE109C" w:rsidP="00FA7BF9">
      <w:pPr>
        <w:spacing w:afterLines="50" w:after="120"/>
        <w:jc w:val="both"/>
        <w:rPr>
          <w:rFonts w:eastAsiaTheme="minorEastAsia"/>
          <w:sz w:val="22"/>
        </w:rPr>
      </w:pPr>
      <w:r>
        <w:rPr>
          <w:rFonts w:eastAsiaTheme="minorEastAsia"/>
          <w:sz w:val="22"/>
        </w:rPr>
        <w:t>However, RAN1 has not been discussed on switching periods for 1Tx-2Tx switching and 2Tx-2Tx switching for Rel-18. So, a</w:t>
      </w:r>
      <w:r w:rsidR="00664079">
        <w:rPr>
          <w:rFonts w:eastAsiaTheme="minorEastAsia"/>
          <w:sz w:val="22"/>
        </w:rPr>
        <w:t xml:space="preserve">ccording to the guidance from RAN1 chair, RAN1 cannot </w:t>
      </w:r>
      <w:r>
        <w:rPr>
          <w:rFonts w:eastAsiaTheme="minorEastAsia"/>
          <w:sz w:val="22"/>
        </w:rPr>
        <w:t>discuss whether Option 1 or Option 2 should be applied</w:t>
      </w:r>
      <w:r w:rsidR="00664079">
        <w:rPr>
          <w:rFonts w:eastAsiaTheme="minorEastAsia"/>
          <w:sz w:val="22"/>
        </w:rPr>
        <w:t xml:space="preserve"> at the RAN1#113 meeting</w:t>
      </w:r>
      <w:r>
        <w:rPr>
          <w:rFonts w:eastAsiaTheme="minorEastAsia"/>
          <w:sz w:val="22"/>
        </w:rPr>
        <w:t xml:space="preserve"> as it would require new agreement</w:t>
      </w:r>
      <w:r w:rsidR="00664079">
        <w:rPr>
          <w:rFonts w:eastAsiaTheme="minorEastAsia"/>
          <w:sz w:val="22"/>
        </w:rPr>
        <w:t xml:space="preserve">. So, what RAN1 can do at the RAN1#113 meeting </w:t>
      </w:r>
      <w:r w:rsidR="00E75719">
        <w:rPr>
          <w:rFonts w:eastAsiaTheme="minorEastAsia"/>
          <w:sz w:val="22"/>
        </w:rPr>
        <w:t>would be</w:t>
      </w:r>
      <w:r w:rsidR="00664079">
        <w:rPr>
          <w:rFonts w:eastAsiaTheme="minorEastAsia"/>
          <w:sz w:val="22"/>
        </w:rPr>
        <w:t xml:space="preserve"> to rely on RAN4 for answering Question 3 while RAN1 </w:t>
      </w:r>
      <w:r w:rsidR="00E75719">
        <w:rPr>
          <w:rFonts w:eastAsiaTheme="minorEastAsia"/>
          <w:sz w:val="22"/>
        </w:rPr>
        <w:t>can</w:t>
      </w:r>
      <w:r w:rsidR="00664079">
        <w:rPr>
          <w:rFonts w:eastAsiaTheme="minorEastAsia"/>
          <w:sz w:val="22"/>
        </w:rPr>
        <w:t xml:space="preserve"> discuss whether/how the outcome of the discussion on Question 3 in RAN4 is captured in RAN1 specification in future meeting.</w:t>
      </w:r>
    </w:p>
    <w:p w14:paraId="045BE981" w14:textId="6FA37BD1" w:rsidR="00FE109C" w:rsidRPr="00664079" w:rsidRDefault="00FE109C" w:rsidP="00FE109C">
      <w:pPr>
        <w:spacing w:afterLines="50" w:after="120"/>
        <w:jc w:val="both"/>
        <w:rPr>
          <w:rFonts w:eastAsia="ＭＳ 明朝"/>
          <w:b/>
          <w:bCs/>
          <w:sz w:val="22"/>
          <w:szCs w:val="22"/>
          <w:lang w:val="en-US"/>
        </w:rPr>
      </w:pPr>
      <w:r w:rsidRPr="00664079">
        <w:rPr>
          <w:rFonts w:eastAsia="ＭＳ 明朝"/>
          <w:b/>
          <w:bCs/>
          <w:sz w:val="22"/>
          <w:szCs w:val="22"/>
          <w:lang w:val="en-US"/>
        </w:rPr>
        <w:t xml:space="preserve">Observation </w:t>
      </w:r>
      <w:r>
        <w:rPr>
          <w:rFonts w:eastAsia="ＭＳ 明朝"/>
          <w:b/>
          <w:bCs/>
          <w:sz w:val="22"/>
          <w:szCs w:val="22"/>
          <w:lang w:val="en-US"/>
        </w:rPr>
        <w:t>2</w:t>
      </w:r>
      <w:r w:rsidRPr="00664079">
        <w:rPr>
          <w:rFonts w:eastAsia="ＭＳ 明朝"/>
          <w:b/>
          <w:bCs/>
          <w:sz w:val="22"/>
          <w:szCs w:val="22"/>
          <w:lang w:val="en-US"/>
        </w:rPr>
        <w:t xml:space="preserve">: </w:t>
      </w:r>
      <w:r>
        <w:rPr>
          <w:rFonts w:eastAsia="ＭＳ 明朝"/>
          <w:b/>
          <w:bCs/>
          <w:sz w:val="22"/>
          <w:szCs w:val="22"/>
          <w:lang w:val="en-US"/>
        </w:rPr>
        <w:t>Although Question 3/4 may have RAN1 specification impact, what RAN1 can do at the RAN1#113 meeting would be to rely on RAN4 for answering Question 3 while RAN1 can discuss whether/how the outcome of the discussion on Question 3 in RAN4 is captured in RAN1 specification in future meeting</w:t>
      </w:r>
      <w:r w:rsidRPr="00664079">
        <w:rPr>
          <w:rFonts w:eastAsia="ＭＳ 明朝"/>
          <w:b/>
          <w:bCs/>
          <w:sz w:val="22"/>
          <w:szCs w:val="22"/>
          <w:lang w:val="en-US"/>
        </w:rPr>
        <w:t>.</w:t>
      </w:r>
    </w:p>
    <w:p w14:paraId="01321A79" w14:textId="77777777" w:rsidR="00664079" w:rsidRPr="00FE109C" w:rsidRDefault="00664079" w:rsidP="00FA7BF9">
      <w:pPr>
        <w:spacing w:afterLines="50" w:after="120"/>
        <w:jc w:val="both"/>
        <w:rPr>
          <w:rFonts w:eastAsiaTheme="minorEastAsia"/>
          <w:sz w:val="22"/>
          <w:lang w:val="en-US"/>
        </w:rPr>
      </w:pPr>
    </w:p>
    <w:p w14:paraId="5FB411A4" w14:textId="77777777" w:rsidR="00664079" w:rsidRPr="00664079" w:rsidRDefault="00664079" w:rsidP="00FA7BF9">
      <w:pPr>
        <w:spacing w:afterLines="50" w:after="120"/>
        <w:jc w:val="both"/>
        <w:rPr>
          <w:rFonts w:eastAsiaTheme="minorEastAsia"/>
          <w:sz w:val="22"/>
        </w:rPr>
      </w:pPr>
    </w:p>
    <w:p w14:paraId="5C0FB22F" w14:textId="77777777" w:rsidR="00B37F97" w:rsidRPr="00B37F97" w:rsidRDefault="00B37F97" w:rsidP="00FA7BF9">
      <w:pPr>
        <w:spacing w:afterLines="50" w:after="120"/>
        <w:jc w:val="both"/>
        <w:rPr>
          <w:rFonts w:eastAsiaTheme="minorEastAsia"/>
          <w:sz w:val="22"/>
          <w:lang w:val="en-US"/>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7725CE4F"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FE0128">
        <w:rPr>
          <w:rFonts w:eastAsiaTheme="minorEastAsia"/>
          <w:sz w:val="22"/>
        </w:rPr>
        <w:t>LSs from RAN2 and RAN4 regarding Rel-18 UL Tx switching</w:t>
      </w:r>
      <w:r w:rsidR="00B37F97">
        <w:rPr>
          <w:rFonts w:eastAsiaTheme="minorEastAsia"/>
          <w:sz w:val="22"/>
        </w:rPr>
        <w:t xml:space="preserve">, and following proposals </w:t>
      </w:r>
      <w:r w:rsidR="00546610">
        <w:rPr>
          <w:rFonts w:eastAsiaTheme="minorEastAsia" w:hint="eastAsia"/>
          <w:sz w:val="22"/>
        </w:rPr>
        <w:t>a</w:t>
      </w:r>
      <w:r w:rsidR="00546610">
        <w:rPr>
          <w:rFonts w:eastAsiaTheme="minorEastAsia"/>
          <w:sz w:val="22"/>
        </w:rPr>
        <w:t xml:space="preserve">nd observations </w:t>
      </w:r>
      <w:r w:rsidR="00B37F97">
        <w:rPr>
          <w:rFonts w:eastAsiaTheme="minorEastAsia"/>
          <w:sz w:val="22"/>
        </w:rPr>
        <w:t>were made</w:t>
      </w:r>
      <w:r w:rsidRPr="004838F6">
        <w:rPr>
          <w:rFonts w:eastAsiaTheme="minorEastAsia"/>
          <w:sz w:val="22"/>
        </w:rPr>
        <w:t>.</w:t>
      </w:r>
    </w:p>
    <w:p w14:paraId="639F9299" w14:textId="77777777" w:rsidR="00FE0128" w:rsidRDefault="00FE0128" w:rsidP="00FE0128">
      <w:pPr>
        <w:spacing w:afterLines="50" w:after="120"/>
        <w:jc w:val="both"/>
        <w:rPr>
          <w:rFonts w:eastAsia="ＭＳ 明朝"/>
          <w:b/>
          <w:bCs/>
          <w:sz w:val="22"/>
          <w:szCs w:val="22"/>
          <w:lang w:val="en-US"/>
        </w:rPr>
      </w:pPr>
      <w:r>
        <w:rPr>
          <w:rFonts w:eastAsia="ＭＳ 明朝"/>
          <w:b/>
          <w:bCs/>
          <w:sz w:val="22"/>
          <w:szCs w:val="22"/>
          <w:lang w:val="en-US"/>
        </w:rPr>
        <w:t>Proposal 1: RAN1 answer to RAN4 question in R1-2304313 is below.</w:t>
      </w:r>
    </w:p>
    <w:p w14:paraId="7BC7DBFC" w14:textId="77777777" w:rsidR="00FE0128" w:rsidRPr="00FE0128" w:rsidRDefault="00FE0128" w:rsidP="00FE0128">
      <w:pPr>
        <w:pStyle w:val="afe"/>
        <w:numPr>
          <w:ilvl w:val="0"/>
          <w:numId w:val="34"/>
        </w:numPr>
        <w:spacing w:afterLines="50" w:after="120"/>
        <w:ind w:leftChars="0"/>
        <w:jc w:val="both"/>
        <w:rPr>
          <w:rFonts w:eastAsia="ＭＳ 明朝"/>
          <w:b/>
          <w:bCs/>
          <w:sz w:val="22"/>
          <w:szCs w:val="22"/>
          <w:lang w:val="en-US"/>
        </w:rPr>
      </w:pPr>
      <w:r w:rsidRPr="00FE0128">
        <w:rPr>
          <w:rFonts w:eastAsia="ＭＳ 明朝"/>
          <w:b/>
          <w:bCs/>
          <w:iCs/>
          <w:sz w:val="22"/>
          <w:szCs w:val="22"/>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FE0128">
        <w:rPr>
          <w:rFonts w:eastAsia="ＭＳ 明朝"/>
          <w:b/>
          <w:bCs/>
          <w:i/>
          <w:iCs/>
          <w:sz w:val="22"/>
          <w:szCs w:val="22"/>
        </w:rPr>
        <w:t>uplinkTxSwitchingPeriodLocation</w:t>
      </w:r>
      <w:r w:rsidRPr="00FE0128">
        <w:rPr>
          <w:rFonts w:eastAsia="ＭＳ 明朝"/>
          <w:b/>
          <w:bCs/>
          <w:sz w:val="22"/>
          <w:szCs w:val="22"/>
        </w:rPr>
        <w:t xml:space="preserve">, </w:t>
      </w:r>
      <w:r>
        <w:rPr>
          <w:rFonts w:eastAsia="ＭＳ 明朝"/>
          <w:b/>
          <w:bCs/>
          <w:sz w:val="22"/>
          <w:szCs w:val="22"/>
        </w:rPr>
        <w:t>the T</w:t>
      </w:r>
      <w:r w:rsidRPr="00FE0128">
        <w:rPr>
          <w:rFonts w:eastAsia="ＭＳ 明朝"/>
          <w:b/>
          <w:bCs/>
          <w:sz w:val="22"/>
          <w:szCs w:val="22"/>
          <w:vertAlign w:val="subscript"/>
        </w:rPr>
        <w:t>0</w:t>
      </w:r>
      <w:r>
        <w:rPr>
          <w:rFonts w:eastAsia="ＭＳ 明朝"/>
          <w:b/>
          <w:bCs/>
          <w:sz w:val="22"/>
          <w:szCs w:val="22"/>
        </w:rPr>
        <w:t xml:space="preserve"> is the </w:t>
      </w:r>
      <w:r w:rsidRPr="00FE0128">
        <w:rPr>
          <w:rFonts w:eastAsia="ＭＳ 明朝"/>
          <w:b/>
          <w:bCs/>
          <w:iCs/>
          <w:sz w:val="22"/>
          <w:szCs w:val="22"/>
        </w:rPr>
        <w:t>starting time for an uplink transmission on the switched-to carrier from network scheduling perspective</w:t>
      </w:r>
      <w:r>
        <w:rPr>
          <w:rFonts w:eastAsia="ＭＳ 明朝"/>
          <w:b/>
          <w:bCs/>
          <w:iCs/>
          <w:sz w:val="22"/>
          <w:szCs w:val="22"/>
        </w:rPr>
        <w:t>.</w:t>
      </w:r>
    </w:p>
    <w:p w14:paraId="29CA0441" w14:textId="77777777" w:rsidR="00664079" w:rsidRPr="00664079" w:rsidRDefault="00664079" w:rsidP="00664079">
      <w:pPr>
        <w:spacing w:afterLines="50" w:after="120"/>
        <w:jc w:val="both"/>
        <w:rPr>
          <w:rFonts w:eastAsia="ＭＳ 明朝"/>
          <w:b/>
          <w:bCs/>
          <w:sz w:val="22"/>
          <w:szCs w:val="22"/>
          <w:lang w:val="en-US"/>
        </w:rPr>
      </w:pPr>
      <w:r w:rsidRPr="00664079">
        <w:rPr>
          <w:rFonts w:eastAsia="ＭＳ 明朝"/>
          <w:b/>
          <w:bCs/>
          <w:sz w:val="22"/>
          <w:szCs w:val="22"/>
          <w:lang w:val="en-US"/>
        </w:rPr>
        <w:t>Observation 1: Following RAN2 agreement has no issue from RAN1 perspective, and hence no reply to R1-2304327 is necessary.</w:t>
      </w:r>
    </w:p>
    <w:p w14:paraId="66366229" w14:textId="77777777" w:rsidR="00664079" w:rsidRDefault="00664079" w:rsidP="00664079">
      <w:pPr>
        <w:spacing w:afterLines="50" w:after="120"/>
        <w:jc w:val="both"/>
        <w:rPr>
          <w:rFonts w:eastAsia="ＭＳ 明朝"/>
          <w:b/>
          <w:bCs/>
          <w:sz w:val="22"/>
          <w:szCs w:val="22"/>
          <w:lang w:val="en-US"/>
        </w:rPr>
      </w:pPr>
      <w:r>
        <w:rPr>
          <w:rFonts w:eastAsia="ＭＳ 明朝"/>
          <w:b/>
          <w:bCs/>
          <w:sz w:val="22"/>
          <w:szCs w:val="22"/>
          <w:lang w:val="en-US"/>
        </w:rPr>
        <w:t>Proposal 2: RAN1 should rely on RAN4 for answering Question 1 in R1-2304333.</w:t>
      </w:r>
    </w:p>
    <w:p w14:paraId="2AAD95BE" w14:textId="77777777" w:rsidR="00FE109C" w:rsidRPr="00664079" w:rsidRDefault="00FE109C" w:rsidP="00FE109C">
      <w:pPr>
        <w:spacing w:afterLines="50" w:after="120"/>
        <w:jc w:val="both"/>
        <w:rPr>
          <w:rFonts w:eastAsia="ＭＳ 明朝"/>
          <w:b/>
          <w:bCs/>
          <w:sz w:val="22"/>
          <w:szCs w:val="22"/>
          <w:lang w:val="en-US"/>
        </w:rPr>
      </w:pPr>
      <w:r w:rsidRPr="00664079">
        <w:rPr>
          <w:rFonts w:eastAsia="ＭＳ 明朝"/>
          <w:b/>
          <w:bCs/>
          <w:sz w:val="22"/>
          <w:szCs w:val="22"/>
          <w:lang w:val="en-US"/>
        </w:rPr>
        <w:t xml:space="preserve">Observation </w:t>
      </w:r>
      <w:r>
        <w:rPr>
          <w:rFonts w:eastAsia="ＭＳ 明朝"/>
          <w:b/>
          <w:bCs/>
          <w:sz w:val="22"/>
          <w:szCs w:val="22"/>
          <w:lang w:val="en-US"/>
        </w:rPr>
        <w:t>2</w:t>
      </w:r>
      <w:r w:rsidRPr="00664079">
        <w:rPr>
          <w:rFonts w:eastAsia="ＭＳ 明朝"/>
          <w:b/>
          <w:bCs/>
          <w:sz w:val="22"/>
          <w:szCs w:val="22"/>
          <w:lang w:val="en-US"/>
        </w:rPr>
        <w:t xml:space="preserve">: </w:t>
      </w:r>
      <w:r>
        <w:rPr>
          <w:rFonts w:eastAsia="ＭＳ 明朝"/>
          <w:b/>
          <w:bCs/>
          <w:sz w:val="22"/>
          <w:szCs w:val="22"/>
          <w:lang w:val="en-US"/>
        </w:rPr>
        <w:t>Although Question 3/4 may have RAN1 specification impact, what RAN1 can do at the RAN1#113 meeting would be to rely on RAN4 for answering Question 3 while RAN1 can discuss whether/how the outcome of the discussion on Question 3 in RAN4 is captured in RAN1 specification in future meeting</w:t>
      </w:r>
      <w:r w:rsidRPr="00664079">
        <w:rPr>
          <w:rFonts w:eastAsia="ＭＳ 明朝"/>
          <w:b/>
          <w:bCs/>
          <w:sz w:val="22"/>
          <w:szCs w:val="22"/>
          <w:lang w:val="en-US"/>
        </w:rPr>
        <w:t>.</w:t>
      </w:r>
    </w:p>
    <w:p w14:paraId="6BC18E71" w14:textId="77777777" w:rsidR="00847902" w:rsidRPr="00FE109C" w:rsidRDefault="00847902" w:rsidP="00847902">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3BDC6F28" w:rsidR="0050461E" w:rsidRDefault="00047258" w:rsidP="00BF3940">
      <w:pPr>
        <w:pStyle w:val="afe"/>
        <w:numPr>
          <w:ilvl w:val="0"/>
          <w:numId w:val="4"/>
        </w:numPr>
        <w:spacing w:afterLines="50" w:after="120"/>
        <w:ind w:leftChars="0"/>
        <w:jc w:val="both"/>
        <w:rPr>
          <w:rFonts w:eastAsia="ＭＳ 明朝"/>
          <w:sz w:val="22"/>
        </w:rPr>
      </w:pPr>
      <w:r w:rsidRPr="00047258">
        <w:rPr>
          <w:rFonts w:eastAsia="ＭＳ 明朝"/>
          <w:sz w:val="22"/>
        </w:rPr>
        <w:t>R1-230</w:t>
      </w:r>
      <w:r w:rsidR="00FE0128">
        <w:rPr>
          <w:rFonts w:eastAsia="ＭＳ 明朝"/>
          <w:sz w:val="22"/>
        </w:rPr>
        <w:t>4313</w:t>
      </w:r>
      <w:r w:rsidRPr="00047258">
        <w:rPr>
          <w:rFonts w:eastAsia="ＭＳ 明朝"/>
          <w:sz w:val="22"/>
        </w:rPr>
        <w:tab/>
      </w:r>
      <w:r w:rsidR="00FE0128" w:rsidRPr="00FE0128">
        <w:rPr>
          <w:rFonts w:eastAsia="ＭＳ 明朝"/>
          <w:sz w:val="22"/>
        </w:rPr>
        <w:t>LS on Rel-18 Tx switching across 3/4 bands</w:t>
      </w:r>
      <w:r w:rsidRPr="00047258">
        <w:rPr>
          <w:rFonts w:eastAsia="ＭＳ 明朝"/>
          <w:sz w:val="22"/>
        </w:rPr>
        <w:tab/>
        <w:t>RAN</w:t>
      </w:r>
      <w:r w:rsidR="00B37F97">
        <w:rPr>
          <w:rFonts w:eastAsia="ＭＳ 明朝"/>
          <w:sz w:val="22"/>
        </w:rPr>
        <w:t>4</w:t>
      </w:r>
      <w:r w:rsidRPr="00047258">
        <w:rPr>
          <w:rFonts w:eastAsia="ＭＳ 明朝"/>
          <w:sz w:val="22"/>
        </w:rPr>
        <w:t xml:space="preserve">, </w:t>
      </w:r>
      <w:r w:rsidR="00B37F97">
        <w:rPr>
          <w:rFonts w:eastAsia="ＭＳ 明朝"/>
          <w:sz w:val="22"/>
        </w:rPr>
        <w:t>China Telecom</w:t>
      </w:r>
    </w:p>
    <w:p w14:paraId="23C60662" w14:textId="535D3C67" w:rsidR="001B531E" w:rsidRDefault="001B531E"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w:t>
      </w:r>
      <w:r w:rsidR="00B37F97">
        <w:rPr>
          <w:rFonts w:eastAsia="ＭＳ 明朝"/>
          <w:sz w:val="22"/>
        </w:rPr>
        <w:t>30</w:t>
      </w:r>
      <w:r w:rsidR="00FE0128">
        <w:rPr>
          <w:rFonts w:eastAsia="ＭＳ 明朝"/>
          <w:sz w:val="22"/>
        </w:rPr>
        <w:t>4327</w:t>
      </w:r>
      <w:r>
        <w:rPr>
          <w:rFonts w:eastAsia="ＭＳ 明朝"/>
          <w:sz w:val="22"/>
        </w:rPr>
        <w:tab/>
      </w:r>
      <w:r w:rsidR="00FE0128" w:rsidRPr="00FE0128">
        <w:rPr>
          <w:rFonts w:eastAsia="ＭＳ 明朝"/>
          <w:sz w:val="22"/>
        </w:rPr>
        <w:t>LS on RRC configuration of Tx state in Rel-18 UL Tx switching</w:t>
      </w:r>
      <w:r>
        <w:rPr>
          <w:rFonts w:eastAsia="ＭＳ 明朝"/>
          <w:sz w:val="22"/>
        </w:rPr>
        <w:tab/>
      </w:r>
      <w:r w:rsidR="00FE0128">
        <w:rPr>
          <w:rFonts w:eastAsia="ＭＳ 明朝"/>
          <w:sz w:val="22"/>
        </w:rPr>
        <w:tab/>
        <w:t xml:space="preserve">RAN2, </w:t>
      </w:r>
      <w:r w:rsidRPr="001B531E">
        <w:rPr>
          <w:rFonts w:eastAsia="ＭＳ 明朝"/>
          <w:sz w:val="22"/>
        </w:rPr>
        <w:t>NTT DOCOMO, INC.</w:t>
      </w:r>
    </w:p>
    <w:p w14:paraId="531A4D7E" w14:textId="390BD6F1" w:rsidR="00B37F97" w:rsidRDefault="00B37F97"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1-230</w:t>
      </w:r>
      <w:r w:rsidR="00FE0128">
        <w:rPr>
          <w:rFonts w:eastAsia="ＭＳ 明朝"/>
          <w:sz w:val="22"/>
        </w:rPr>
        <w:t>4333</w:t>
      </w:r>
      <w:r>
        <w:rPr>
          <w:rFonts w:eastAsia="ＭＳ 明朝"/>
          <w:sz w:val="22"/>
        </w:rPr>
        <w:tab/>
      </w:r>
      <w:r w:rsidR="00FE0128" w:rsidRPr="00FE0128">
        <w:rPr>
          <w:rFonts w:eastAsia="ＭＳ 明朝"/>
          <w:sz w:val="22"/>
        </w:rPr>
        <w:t>LS on report of switching periods in Rel-18 UL Tx switching</w:t>
      </w:r>
      <w:r>
        <w:rPr>
          <w:rFonts w:eastAsia="ＭＳ 明朝"/>
          <w:sz w:val="22"/>
        </w:rPr>
        <w:tab/>
      </w:r>
      <w:r w:rsidR="00FE0128">
        <w:rPr>
          <w:rFonts w:eastAsia="ＭＳ 明朝"/>
          <w:sz w:val="22"/>
        </w:rPr>
        <w:t xml:space="preserve">RAN2, </w:t>
      </w:r>
      <w:r>
        <w:rPr>
          <w:rFonts w:eastAsia="ＭＳ 明朝"/>
          <w:sz w:val="22"/>
        </w:rPr>
        <w:t>NTT DOCOMO, INC.</w:t>
      </w:r>
    </w:p>
    <w:sectPr w:rsidR="00B37F9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934D" w14:textId="77777777" w:rsidR="00C6382C" w:rsidRDefault="00C6382C">
      <w:r>
        <w:separator/>
      </w:r>
    </w:p>
  </w:endnote>
  <w:endnote w:type="continuationSeparator" w:id="0">
    <w:p w14:paraId="7019CC17" w14:textId="77777777" w:rsidR="00C6382C" w:rsidRDefault="00C6382C">
      <w:r>
        <w:continuationSeparator/>
      </w:r>
    </w:p>
  </w:endnote>
  <w:endnote w:type="continuationNotice" w:id="1">
    <w:p w14:paraId="25690FC0" w14:textId="77777777" w:rsidR="00C6382C" w:rsidRDefault="00C63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6F32" w14:textId="77777777" w:rsidR="00C6382C" w:rsidRDefault="00C6382C">
      <w:r>
        <w:separator/>
      </w:r>
    </w:p>
  </w:footnote>
  <w:footnote w:type="continuationSeparator" w:id="0">
    <w:p w14:paraId="5CC083C8" w14:textId="77777777" w:rsidR="00C6382C" w:rsidRDefault="00C6382C">
      <w:r>
        <w:continuationSeparator/>
      </w:r>
    </w:p>
  </w:footnote>
  <w:footnote w:type="continuationNotice" w:id="1">
    <w:p w14:paraId="069DF477" w14:textId="77777777" w:rsidR="00C6382C" w:rsidRDefault="00C638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DCE596F"/>
    <w:multiLevelType w:val="hybridMultilevel"/>
    <w:tmpl w:val="86C6F8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8262F2"/>
    <w:multiLevelType w:val="hybridMultilevel"/>
    <w:tmpl w:val="AD5C280A"/>
    <w:lvl w:ilvl="0" w:tplc="C7B4C0D2">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27"/>
  </w:num>
  <w:num w:numId="3" w16cid:durableId="1303730563">
    <w:abstractNumId w:val="11"/>
  </w:num>
  <w:num w:numId="4" w16cid:durableId="1713656572">
    <w:abstractNumId w:val="7"/>
  </w:num>
  <w:num w:numId="5" w16cid:durableId="1679193609">
    <w:abstractNumId w:val="31"/>
  </w:num>
  <w:num w:numId="6" w16cid:durableId="676151264">
    <w:abstractNumId w:val="21"/>
  </w:num>
  <w:num w:numId="7" w16cid:durableId="837501767">
    <w:abstractNumId w:val="9"/>
  </w:num>
  <w:num w:numId="8" w16cid:durableId="668413182">
    <w:abstractNumId w:val="1"/>
  </w:num>
  <w:num w:numId="9" w16cid:durableId="1634141511">
    <w:abstractNumId w:val="26"/>
  </w:num>
  <w:num w:numId="10" w16cid:durableId="1412119754">
    <w:abstractNumId w:val="4"/>
  </w:num>
  <w:num w:numId="11" w16cid:durableId="1589997273">
    <w:abstractNumId w:val="22"/>
  </w:num>
  <w:num w:numId="12" w16cid:durableId="1786462989">
    <w:abstractNumId w:val="5"/>
  </w:num>
  <w:num w:numId="13" w16cid:durableId="1016076796">
    <w:abstractNumId w:val="30"/>
  </w:num>
  <w:num w:numId="14" w16cid:durableId="1403797956">
    <w:abstractNumId w:val="20"/>
  </w:num>
  <w:num w:numId="15" w16cid:durableId="1693458958">
    <w:abstractNumId w:val="32"/>
  </w:num>
  <w:num w:numId="16" w16cid:durableId="1594630107">
    <w:abstractNumId w:val="14"/>
  </w:num>
  <w:num w:numId="17" w16cid:durableId="1588928024">
    <w:abstractNumId w:val="33"/>
  </w:num>
  <w:num w:numId="18" w16cid:durableId="2141804551">
    <w:abstractNumId w:val="17"/>
  </w:num>
  <w:num w:numId="19" w16cid:durableId="1111894929">
    <w:abstractNumId w:val="2"/>
  </w:num>
  <w:num w:numId="20" w16cid:durableId="1470704700">
    <w:abstractNumId w:val="15"/>
  </w:num>
  <w:num w:numId="21" w16cid:durableId="1124353172">
    <w:abstractNumId w:val="18"/>
  </w:num>
  <w:num w:numId="22" w16cid:durableId="671418246">
    <w:abstractNumId w:val="29"/>
  </w:num>
  <w:num w:numId="23" w16cid:durableId="670184184">
    <w:abstractNumId w:val="34"/>
  </w:num>
  <w:num w:numId="24" w16cid:durableId="340159708">
    <w:abstractNumId w:val="14"/>
  </w:num>
  <w:num w:numId="25" w16cid:durableId="1355568879">
    <w:abstractNumId w:val="25"/>
  </w:num>
  <w:num w:numId="26" w16cid:durableId="1491599594">
    <w:abstractNumId w:val="10"/>
  </w:num>
  <w:num w:numId="27" w16cid:durableId="2132741842">
    <w:abstractNumId w:val="23"/>
  </w:num>
  <w:num w:numId="28" w16cid:durableId="51388808">
    <w:abstractNumId w:val="3"/>
  </w:num>
  <w:num w:numId="29" w16cid:durableId="2142845179">
    <w:abstractNumId w:val="8"/>
  </w:num>
  <w:num w:numId="30" w16cid:durableId="676736483">
    <w:abstractNumId w:val="6"/>
  </w:num>
  <w:num w:numId="31" w16cid:durableId="479613414">
    <w:abstractNumId w:val="23"/>
  </w:num>
  <w:num w:numId="32" w16cid:durableId="130053535">
    <w:abstractNumId w:val="16"/>
  </w:num>
  <w:num w:numId="33" w16cid:durableId="1322348452">
    <w:abstractNumId w:val="28"/>
  </w:num>
  <w:num w:numId="34" w16cid:durableId="1085303953">
    <w:abstractNumId w:val="13"/>
  </w:num>
  <w:num w:numId="35" w16cid:durableId="1501504484">
    <w:abstractNumId w:val="29"/>
  </w:num>
  <w:num w:numId="36" w16cid:durableId="1381006163">
    <w:abstractNumId w:val="24"/>
  </w:num>
  <w:num w:numId="37" w16cid:durableId="481966424">
    <w:abstractNumId w:val="19"/>
  </w:num>
  <w:num w:numId="38" w16cid:durableId="83022280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610"/>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079"/>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82C"/>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27"/>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19"/>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3E43"/>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501"/>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128"/>
    <w:rsid w:val="00FE0275"/>
    <w:rsid w:val="00FE04B7"/>
    <w:rsid w:val="00FE05A4"/>
    <w:rsid w:val="00FE0C01"/>
    <w:rsid w:val="00FE0C9D"/>
    <w:rsid w:val="00FE104D"/>
    <w:rsid w:val="00FE108A"/>
    <w:rsid w:val="00FE109C"/>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uiPriority w:val="99"/>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77162">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3125657">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9850">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1245525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222742">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025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1678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702183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79299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462119">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6377255">
      <w:bodyDiv w:val="1"/>
      <w:marLeft w:val="0"/>
      <w:marRight w:val="0"/>
      <w:marTop w:val="0"/>
      <w:marBottom w:val="0"/>
      <w:divBdr>
        <w:top w:val="none" w:sz="0" w:space="0" w:color="auto"/>
        <w:left w:val="none" w:sz="0" w:space="0" w:color="auto"/>
        <w:bottom w:val="none" w:sz="0" w:space="0" w:color="auto"/>
        <w:right w:val="none" w:sz="0" w:space="0" w:color="auto"/>
      </w:divBdr>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455112">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2240</Words>
  <Characters>12769</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2023-04-07T02:20:00Z</dcterms:created>
  <dcterms:modified xsi:type="dcterms:W3CDTF">2023-05-12T05:48:00Z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2023-05-10T13:05:00Z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7bd32b09-d8cb-4094-b0ff-a67c615993b4</vt:lpwstr>
  </property>
  <property fmtid="{D5CDD505-2E9C-101B-9397-08002B2CF9AE}" pid="8" name="MSIP_Label_f7b7771f-98a2-4ec9-8160-ee37e9359e20_ContentBits">
    <vt:lpwstr>0</vt:lpwstr>
  </property>
</Properties>
</file>